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6"/>
      </w:tblGrid>
      <w:tr w:rsidR="000D450E" w:rsidRPr="00BA2469" w14:paraId="39FAB53C" w14:textId="77777777" w:rsidTr="00F04D90">
        <w:tc>
          <w:tcPr>
            <w:tcW w:w="9576" w:type="dxa"/>
          </w:tcPr>
          <w:p w14:paraId="5E4E7D48" w14:textId="77777777" w:rsidR="000D450E" w:rsidRPr="00BA2469" w:rsidRDefault="000D450E" w:rsidP="00661EA1">
            <w:pPr>
              <w:keepNext/>
              <w:keepLines/>
              <w:tabs>
                <w:tab w:val="center" w:pos="4680"/>
                <w:tab w:val="right" w:pos="9360"/>
              </w:tabs>
              <w:ind w:leftChars="-49" w:left="-137"/>
              <w:contextualSpacing/>
              <w:mirrorIndents/>
              <w:jc w:val="both"/>
              <w:outlineLvl w:val="2"/>
              <w:rPr>
                <w:rFonts w:ascii="微軟正黑體" w:eastAsia="微軟正黑體" w:hAnsi="微軟正黑體" w:cs="Arial"/>
                <w:b/>
                <w:bCs/>
                <w:color w:val="A7A8AA"/>
                <w:sz w:val="40"/>
                <w:szCs w:val="40"/>
                <w:lang w:val="en-GB" w:eastAsia="zh-TW"/>
              </w:rPr>
            </w:pPr>
            <w:r w:rsidRPr="00BA2469">
              <w:rPr>
                <w:rFonts w:ascii="微軟正黑體" w:eastAsia="微軟正黑體" w:hAnsi="微軟正黑體" w:cs="Arial"/>
                <w:b/>
                <w:bCs/>
                <w:color w:val="A7A8AA"/>
                <w:sz w:val="40"/>
                <w:szCs w:val="40"/>
                <w:lang w:val="en-GB" w:eastAsia="zh-TW"/>
              </w:rPr>
              <w:t>新聞稿</w:t>
            </w:r>
          </w:p>
          <w:p w14:paraId="04292846" w14:textId="158E5BA4" w:rsidR="000D450E" w:rsidRPr="00BA2469" w:rsidRDefault="000D450E" w:rsidP="00661EA1">
            <w:pPr>
              <w:keepNext/>
              <w:keepLines/>
              <w:tabs>
                <w:tab w:val="center" w:pos="4680"/>
                <w:tab w:val="right" w:pos="9360"/>
              </w:tabs>
              <w:ind w:leftChars="-49" w:left="-137"/>
              <w:contextualSpacing/>
              <w:mirrorIndents/>
              <w:jc w:val="both"/>
              <w:outlineLvl w:val="2"/>
              <w:rPr>
                <w:rFonts w:ascii="微軟正黑體" w:eastAsia="微軟正黑體" w:hAnsi="微軟正黑體" w:cs="Arial"/>
                <w:b/>
                <w:bCs/>
                <w:color w:val="A7A8AA"/>
                <w:szCs w:val="28"/>
                <w:lang w:val="en-GB" w:eastAsia="zh-CN"/>
              </w:rPr>
            </w:pPr>
            <w:r w:rsidRPr="00BA2469">
              <w:rPr>
                <w:rFonts w:ascii="微軟正黑體" w:eastAsia="微軟正黑體" w:hAnsi="微軟正黑體" w:cs="Arial"/>
                <w:b/>
                <w:bCs/>
                <w:color w:val="A7A8AA"/>
                <w:szCs w:val="28"/>
                <w:lang w:val="en-GB" w:eastAsia="zh-TW"/>
              </w:rPr>
              <w:t>20</w:t>
            </w:r>
            <w:r w:rsidRPr="00BA2469">
              <w:rPr>
                <w:rFonts w:ascii="微軟正黑體" w:eastAsia="微軟正黑體" w:hAnsi="微軟正黑體" w:cs="Arial" w:hint="eastAsia"/>
                <w:b/>
                <w:bCs/>
                <w:color w:val="A7A8AA"/>
                <w:szCs w:val="28"/>
                <w:lang w:val="en-GB" w:eastAsia="zh-TW"/>
              </w:rPr>
              <w:t>2</w:t>
            </w:r>
            <w:r w:rsidRPr="00BA2469">
              <w:rPr>
                <w:rFonts w:ascii="微軟正黑體" w:eastAsia="微軟正黑體" w:hAnsi="微軟正黑體" w:cs="Arial" w:hint="eastAsia"/>
                <w:b/>
                <w:bCs/>
                <w:color w:val="A7A8AA"/>
                <w:szCs w:val="28"/>
                <w:lang w:val="en-GB" w:eastAsia="zh-TW"/>
              </w:rPr>
              <w:t>4</w:t>
            </w:r>
            <w:r w:rsidRPr="00BA2469">
              <w:rPr>
                <w:rFonts w:ascii="微軟正黑體" w:eastAsia="微軟正黑體" w:hAnsi="微軟正黑體" w:cs="Arial"/>
                <w:b/>
                <w:bCs/>
                <w:color w:val="A7A8AA"/>
                <w:szCs w:val="28"/>
                <w:lang w:val="en-GB" w:eastAsia="zh-TW"/>
              </w:rPr>
              <w:t>年</w:t>
            </w:r>
            <w:r w:rsidRPr="00BA2469">
              <w:rPr>
                <w:rFonts w:ascii="微軟正黑體" w:eastAsia="微軟正黑體" w:hAnsi="微軟正黑體" w:cs="Arial" w:hint="eastAsia"/>
                <w:b/>
                <w:bCs/>
                <w:color w:val="A7A8AA"/>
                <w:szCs w:val="28"/>
                <w:lang w:val="en-GB" w:eastAsia="zh-TW"/>
              </w:rPr>
              <w:t>7</w:t>
            </w:r>
            <w:r w:rsidRPr="00BA2469">
              <w:rPr>
                <w:rFonts w:ascii="微軟正黑體" w:eastAsia="微軟正黑體" w:hAnsi="微軟正黑體" w:cs="Arial"/>
                <w:b/>
                <w:bCs/>
                <w:color w:val="A7A8AA"/>
                <w:szCs w:val="28"/>
                <w:lang w:val="en-GB" w:eastAsia="zh-TW"/>
              </w:rPr>
              <w:t>月</w:t>
            </w:r>
            <w:r w:rsidR="00661361" w:rsidRPr="00BA2469">
              <w:rPr>
                <w:rFonts w:ascii="微軟正黑體" w:eastAsia="微軟正黑體" w:hAnsi="微軟正黑體" w:cs="Arial" w:hint="eastAsia"/>
                <w:b/>
                <w:bCs/>
                <w:color w:val="A7A8AA"/>
                <w:szCs w:val="28"/>
                <w:lang w:val="en-GB" w:eastAsia="zh-TW"/>
              </w:rPr>
              <w:t>2</w:t>
            </w:r>
            <w:r w:rsidRPr="00BA2469">
              <w:rPr>
                <w:rFonts w:ascii="微軟正黑體" w:eastAsia="微軟正黑體" w:hAnsi="微軟正黑體" w:cs="Arial"/>
                <w:b/>
                <w:bCs/>
                <w:color w:val="A7A8AA"/>
                <w:szCs w:val="28"/>
                <w:lang w:val="en-GB" w:eastAsia="zh-TW"/>
              </w:rPr>
              <w:t>日</w:t>
            </w:r>
          </w:p>
        </w:tc>
      </w:tr>
    </w:tbl>
    <w:p w14:paraId="6207944A" w14:textId="77777777" w:rsidR="000D450E" w:rsidRPr="00BA2469" w:rsidRDefault="000D450E" w:rsidP="00661EA1">
      <w:pPr>
        <w:tabs>
          <w:tab w:val="center" w:pos="4680"/>
          <w:tab w:val="right" w:pos="9360"/>
        </w:tabs>
        <w:contextualSpacing/>
        <w:mirrorIndents/>
        <w:jc w:val="both"/>
        <w:rPr>
          <w:rFonts w:ascii="微軟正黑體" w:eastAsia="微軟正黑體" w:hAnsi="微軟正黑體" w:cs="Arial"/>
          <w:color w:val="A7A8AA"/>
          <w:sz w:val="20"/>
          <w:szCs w:val="20"/>
          <w:lang w:eastAsia="zh-CN"/>
        </w:rPr>
      </w:pPr>
    </w:p>
    <w:p w14:paraId="57D0BE63" w14:textId="2118C3D7" w:rsidR="000D450E" w:rsidRPr="00BA2469" w:rsidRDefault="00BA2469" w:rsidP="00661EA1">
      <w:pPr>
        <w:snapToGrid w:val="0"/>
        <w:rPr>
          <w:rFonts w:ascii="微軟正黑體" w:eastAsia="微軟正黑體" w:hAnsi="微軟正黑體" w:cs="Arial"/>
          <w:b/>
          <w:color w:val="0093B2"/>
          <w:szCs w:val="28"/>
        </w:rPr>
      </w:pPr>
      <w:r w:rsidRPr="00BA2469">
        <w:rPr>
          <w:rFonts w:ascii="微軟正黑體" w:eastAsia="微軟正黑體" w:hAnsi="微軟正黑體" w:cs="Arial" w:hint="eastAsia"/>
          <w:b/>
          <w:color w:val="0093B2"/>
          <w:szCs w:val="28"/>
        </w:rPr>
        <w:t>不只有</w:t>
      </w:r>
      <w:r w:rsidR="00661361" w:rsidRPr="00BA2469">
        <w:rPr>
          <w:rFonts w:ascii="微軟正黑體" w:eastAsia="微軟正黑體" w:hAnsi="微軟正黑體" w:cs="Arial" w:hint="eastAsia"/>
          <w:b/>
          <w:color w:val="0093B2"/>
          <w:szCs w:val="28"/>
        </w:rPr>
        <w:t>AI</w:t>
      </w:r>
      <w:r w:rsidRPr="00BA2469">
        <w:rPr>
          <w:rFonts w:ascii="微軟正黑體" w:eastAsia="微軟正黑體" w:hAnsi="微軟正黑體" w:cs="Arial" w:hint="eastAsia"/>
          <w:b/>
          <w:color w:val="0093B2"/>
          <w:szCs w:val="28"/>
        </w:rPr>
        <w:t>熱潮!桃園</w:t>
      </w:r>
      <w:r w:rsidR="005F5053">
        <w:rPr>
          <w:rFonts w:ascii="微軟正黑體" w:eastAsia="微軟正黑體" w:hAnsi="微軟正黑體" w:cs="Arial" w:hint="eastAsia"/>
          <w:b/>
          <w:color w:val="0093B2"/>
          <w:szCs w:val="28"/>
        </w:rPr>
        <w:t>超大面積</w:t>
      </w:r>
      <w:r w:rsidRPr="00BA2469">
        <w:rPr>
          <w:rFonts w:ascii="微軟正黑體" w:eastAsia="微軟正黑體" w:hAnsi="微軟正黑體" w:cs="Arial" w:hint="eastAsia"/>
          <w:b/>
          <w:color w:val="0093B2"/>
          <w:szCs w:val="28"/>
        </w:rPr>
        <w:t>土地轉型</w:t>
      </w:r>
      <w:r w:rsidR="005F5053">
        <w:rPr>
          <w:rFonts w:ascii="微軟正黑體" w:eastAsia="微軟正黑體" w:hAnsi="微軟正黑體" w:cs="Arial" w:hint="eastAsia"/>
          <w:b/>
          <w:color w:val="0093B2"/>
          <w:szCs w:val="28"/>
        </w:rPr>
        <w:t>，</w:t>
      </w:r>
      <w:r w:rsidRPr="00BA2469">
        <w:rPr>
          <w:rFonts w:ascii="微軟正黑體" w:eastAsia="微軟正黑體" w:hAnsi="微軟正黑體" w:cs="Arial" w:hint="eastAsia"/>
          <w:b/>
          <w:color w:val="0093B2"/>
          <w:szCs w:val="28"/>
        </w:rPr>
        <w:t>吸引再生能源、資料處理中心</w:t>
      </w:r>
      <w:r w:rsidRPr="00BA2469">
        <w:rPr>
          <w:rFonts w:ascii="微軟正黑體" w:eastAsia="微軟正黑體" w:hAnsi="微軟正黑體" w:cs="Arial" w:hint="eastAsia"/>
          <w:b/>
          <w:color w:val="0093B2"/>
          <w:szCs w:val="28"/>
        </w:rPr>
        <w:t>、</w:t>
      </w:r>
      <w:r w:rsidRPr="00BA2469">
        <w:rPr>
          <w:rFonts w:ascii="微軟正黑體" w:eastAsia="微軟正黑體" w:hAnsi="微軟正黑體" w:cs="Arial" w:hint="eastAsia"/>
          <w:b/>
          <w:color w:val="0093B2"/>
          <w:szCs w:val="28"/>
        </w:rPr>
        <w:t>電池</w:t>
      </w:r>
      <w:r w:rsidR="005F5053">
        <w:rPr>
          <w:rFonts w:ascii="微軟正黑體" w:eastAsia="微軟正黑體" w:hAnsi="微軟正黑體" w:cs="Arial" w:hint="eastAsia"/>
          <w:b/>
          <w:color w:val="0093B2"/>
          <w:szCs w:val="28"/>
        </w:rPr>
        <w:t>製造商</w:t>
      </w:r>
      <w:r w:rsidRPr="00BA2469">
        <w:rPr>
          <w:rFonts w:ascii="微軟正黑體" w:eastAsia="微軟正黑體" w:hAnsi="微軟正黑體" w:cs="Arial" w:hint="eastAsia"/>
          <w:b/>
          <w:color w:val="0093B2"/>
          <w:szCs w:val="28"/>
        </w:rPr>
        <w:t>、</w:t>
      </w:r>
      <w:r w:rsidR="004D0249">
        <w:rPr>
          <w:rFonts w:ascii="微軟正黑體" w:eastAsia="微軟正黑體" w:hAnsi="微軟正黑體" w:cs="Arial" w:hint="eastAsia"/>
          <w:b/>
          <w:color w:val="0093B2"/>
          <w:szCs w:val="28"/>
        </w:rPr>
        <w:t>半導體化學商</w:t>
      </w:r>
      <w:r w:rsidR="004D0249" w:rsidRPr="00BA2469">
        <w:rPr>
          <w:rFonts w:ascii="微軟正黑體" w:eastAsia="微軟正黑體" w:hAnsi="微軟正黑體" w:cs="Arial" w:hint="eastAsia"/>
          <w:b/>
          <w:color w:val="0093B2"/>
          <w:szCs w:val="28"/>
        </w:rPr>
        <w:t>、</w:t>
      </w:r>
      <w:r w:rsidRPr="00BA2469">
        <w:rPr>
          <w:rFonts w:ascii="微軟正黑體" w:eastAsia="微軟正黑體" w:hAnsi="微軟正黑體" w:cs="Arial" w:hint="eastAsia"/>
          <w:b/>
          <w:color w:val="0093B2"/>
          <w:szCs w:val="28"/>
        </w:rPr>
        <w:t>物流商</w:t>
      </w:r>
      <w:r w:rsidR="005F5053">
        <w:rPr>
          <w:rFonts w:ascii="微軟正黑體" w:eastAsia="微軟正黑體" w:hAnsi="微軟正黑體" w:cs="Arial" w:hint="eastAsia"/>
          <w:b/>
          <w:color w:val="0093B2"/>
          <w:szCs w:val="28"/>
        </w:rPr>
        <w:t>等買方</w:t>
      </w:r>
      <w:r w:rsidRPr="00BA2469">
        <w:rPr>
          <w:rFonts w:ascii="微軟正黑體" w:eastAsia="微軟正黑體" w:hAnsi="微軟正黑體" w:cs="Arial" w:hint="eastAsia"/>
          <w:b/>
          <w:color w:val="0093B2"/>
          <w:szCs w:val="28"/>
        </w:rPr>
        <w:t>積極搶進</w:t>
      </w:r>
      <w:r w:rsidR="000D450E" w:rsidRPr="00BA2469">
        <w:rPr>
          <w:rFonts w:ascii="微軟正黑體" w:eastAsia="微軟正黑體" w:hAnsi="微軟正黑體" w:cs="Arial" w:hint="eastAsia"/>
          <w:b/>
          <w:color w:val="0093B2"/>
          <w:szCs w:val="28"/>
        </w:rPr>
        <w:t>！</w:t>
      </w:r>
    </w:p>
    <w:p w14:paraId="2DEB2A58" w14:textId="64791CE9" w:rsidR="005F5053" w:rsidRDefault="000D450E" w:rsidP="00661EA1">
      <w:pPr>
        <w:widowControl/>
        <w:rPr>
          <w:rFonts w:ascii="微軟正黑體" w:eastAsia="微軟正黑體" w:hAnsi="微軟正黑體" w:cs="Arial"/>
          <w:spacing w:val="5"/>
          <w:kern w:val="28"/>
          <w:sz w:val="24"/>
        </w:rPr>
      </w:pPr>
      <w:r w:rsidRPr="00BA2469">
        <w:rPr>
          <w:rFonts w:ascii="微軟正黑體" w:eastAsia="微軟正黑體" w:hAnsi="微軟正黑體" w:cs="Arial" w:hint="eastAsia"/>
          <w:spacing w:val="5"/>
          <w:kern w:val="28"/>
          <w:sz w:val="20"/>
          <w:szCs w:val="20"/>
        </w:rPr>
        <w:t xml:space="preserve">　</w:t>
      </w:r>
      <w:r w:rsidRPr="00BA2469">
        <w:rPr>
          <w:rFonts w:ascii="微軟正黑體" w:eastAsia="微軟正黑體" w:hAnsi="微軟正黑體" w:cs="Arial" w:hint="eastAsia"/>
          <w:spacing w:val="5"/>
          <w:kern w:val="28"/>
          <w:sz w:val="24"/>
        </w:rPr>
        <w:t xml:space="preserve">　</w:t>
      </w:r>
      <w:r w:rsidR="005F5053">
        <w:rPr>
          <w:rFonts w:ascii="微軟正黑體" w:eastAsia="微軟正黑體" w:hAnsi="微軟正黑體" w:cs="Arial" w:hint="eastAsia"/>
          <w:spacing w:val="5"/>
          <w:kern w:val="28"/>
          <w:sz w:val="24"/>
        </w:rPr>
        <w:t>股市，房市兩頭熱，主要來自於台灣經濟前景看好，市場資金豐沛，直接推動2024年上半年土地需求量遠超去年，除了來自建商強力佈局未來推案需求之外，自用企業買方同樣積極獵地。過去五年台灣工業土地大幅上漲</w:t>
      </w:r>
      <w:r w:rsidR="004D0249">
        <w:rPr>
          <w:rFonts w:ascii="微軟正黑體" w:eastAsia="微軟正黑體" w:hAnsi="微軟正黑體" w:cs="Arial" w:hint="eastAsia"/>
          <w:spacing w:val="5"/>
          <w:kern w:val="28"/>
          <w:sz w:val="24"/>
        </w:rPr>
        <w:t>得益</w:t>
      </w:r>
      <w:r w:rsidR="005F5053">
        <w:rPr>
          <w:rFonts w:ascii="微軟正黑體" w:eastAsia="微軟正黑體" w:hAnsi="微軟正黑體" w:cs="Arial" w:hint="eastAsia"/>
          <w:spacing w:val="5"/>
          <w:kern w:val="28"/>
          <w:sz w:val="24"/>
        </w:rPr>
        <w:t>於中美貿易戰，供應鏈重組，科技業積極擴廠</w:t>
      </w:r>
      <w:r w:rsidR="004D0249">
        <w:rPr>
          <w:rFonts w:ascii="微軟正黑體" w:eastAsia="微軟正黑體" w:hAnsi="微軟正黑體" w:cs="Arial" w:hint="eastAsia"/>
          <w:spacing w:val="5"/>
          <w:kern w:val="28"/>
          <w:sz w:val="24"/>
        </w:rPr>
        <w:t>等因素</w:t>
      </w:r>
      <w:r w:rsidR="005F5053">
        <w:rPr>
          <w:rFonts w:ascii="微軟正黑體" w:eastAsia="微軟正黑體" w:hAnsi="微軟正黑體" w:cs="Arial" w:hint="eastAsia"/>
          <w:spacing w:val="5"/>
          <w:kern w:val="28"/>
          <w:sz w:val="24"/>
        </w:rPr>
        <w:t>，</w:t>
      </w:r>
      <w:r w:rsidR="004D0249">
        <w:rPr>
          <w:rFonts w:ascii="微軟正黑體" w:eastAsia="微軟正黑體" w:hAnsi="微軟正黑體" w:cs="Arial" w:hint="eastAsia"/>
          <w:spacing w:val="5"/>
          <w:kern w:val="28"/>
          <w:sz w:val="24"/>
        </w:rPr>
        <w:t>例如</w:t>
      </w:r>
      <w:proofErr w:type="gramStart"/>
      <w:r w:rsidR="004D0249" w:rsidRPr="004D0249">
        <w:rPr>
          <w:rFonts w:ascii="微軟正黑體" w:eastAsia="微軟正黑體" w:hAnsi="微軟正黑體" w:cs="Arial"/>
          <w:spacing w:val="5"/>
          <w:kern w:val="28"/>
          <w:sz w:val="24"/>
        </w:rPr>
        <w:t>緯創資通及緯穎</w:t>
      </w:r>
      <w:proofErr w:type="gramEnd"/>
      <w:r w:rsidR="004D0249" w:rsidRPr="004D0249">
        <w:rPr>
          <w:rFonts w:ascii="微軟正黑體" w:eastAsia="微軟正黑體" w:hAnsi="微軟正黑體" w:cs="Arial"/>
          <w:spacing w:val="5"/>
          <w:kern w:val="28"/>
          <w:sz w:val="24"/>
        </w:rPr>
        <w:t>科技</w:t>
      </w:r>
      <w:r w:rsidR="004D0249" w:rsidRPr="004D0249">
        <w:rPr>
          <w:rFonts w:ascii="微軟正黑體" w:eastAsia="微軟正黑體" w:hAnsi="微軟正黑體" w:cs="Arial" w:hint="eastAsia"/>
          <w:spacing w:val="5"/>
          <w:kern w:val="28"/>
          <w:sz w:val="24"/>
        </w:rPr>
        <w:t>近期標下</w:t>
      </w:r>
      <w:proofErr w:type="gramStart"/>
      <w:r w:rsidR="004D0249">
        <w:rPr>
          <w:rFonts w:ascii="微軟正黑體" w:eastAsia="微軟正黑體" w:hAnsi="微軟正黑體" w:cs="Arial" w:hint="eastAsia"/>
          <w:spacing w:val="5"/>
          <w:kern w:val="28"/>
          <w:sz w:val="24"/>
        </w:rPr>
        <w:t>規</w:t>
      </w:r>
      <w:proofErr w:type="gramEnd"/>
      <w:r w:rsidR="004D0249">
        <w:rPr>
          <w:rFonts w:ascii="微軟正黑體" w:eastAsia="微軟正黑體" w:hAnsi="微軟正黑體" w:cs="Arial" w:hint="eastAsia"/>
          <w:spacing w:val="5"/>
          <w:kern w:val="28"/>
          <w:sz w:val="24"/>
        </w:rPr>
        <w:t>畫良好但</w:t>
      </w:r>
      <w:proofErr w:type="gramStart"/>
      <w:r w:rsidR="004D0249" w:rsidRPr="004D0249">
        <w:rPr>
          <w:rFonts w:ascii="微軟正黑體" w:eastAsia="微軟正黑體" w:hAnsi="微軟正黑體" w:cs="Arial" w:hint="eastAsia"/>
          <w:spacing w:val="5"/>
          <w:kern w:val="28"/>
          <w:sz w:val="24"/>
        </w:rPr>
        <w:t>空置已久</w:t>
      </w:r>
      <w:proofErr w:type="gramEnd"/>
      <w:r w:rsidR="004D0249" w:rsidRPr="004D0249">
        <w:rPr>
          <w:rFonts w:ascii="微軟正黑體" w:eastAsia="微軟正黑體" w:hAnsi="微軟正黑體" w:cs="Arial" w:hint="eastAsia"/>
          <w:spacing w:val="5"/>
          <w:kern w:val="28"/>
          <w:sz w:val="24"/>
        </w:rPr>
        <w:t>的台北市內科</w:t>
      </w:r>
      <w:r w:rsidR="004D0249" w:rsidRPr="004D0249">
        <w:rPr>
          <w:rFonts w:ascii="微軟正黑體" w:eastAsia="微軟正黑體" w:hAnsi="微軟正黑體" w:cs="Arial"/>
          <w:spacing w:val="5"/>
          <w:kern w:val="28"/>
          <w:sz w:val="24"/>
        </w:rPr>
        <w:t>潭美段4,406坪土地地上權</w:t>
      </w:r>
      <w:r w:rsidR="004D0249">
        <w:rPr>
          <w:rFonts w:ascii="微軟正黑體" w:eastAsia="微軟正黑體" w:hAnsi="微軟正黑體" w:cs="Arial" w:hint="eastAsia"/>
          <w:spacing w:val="5"/>
          <w:kern w:val="28"/>
          <w:sz w:val="24"/>
        </w:rPr>
        <w:t>。</w:t>
      </w:r>
      <w:r w:rsidR="004D0249" w:rsidRPr="004D0249">
        <w:rPr>
          <w:rFonts w:ascii="微軟正黑體" w:eastAsia="微軟正黑體" w:hAnsi="微軟正黑體" w:cs="Arial" w:hint="eastAsia"/>
          <w:spacing w:val="5"/>
          <w:kern w:val="28"/>
          <w:sz w:val="24"/>
        </w:rPr>
        <w:t>而</w:t>
      </w:r>
      <w:r w:rsidR="005F5053">
        <w:rPr>
          <w:rFonts w:ascii="微軟正黑體" w:eastAsia="微軟正黑體" w:hAnsi="微軟正黑體" w:cs="Arial" w:hint="eastAsia"/>
          <w:spacing w:val="5"/>
          <w:kern w:val="28"/>
          <w:sz w:val="24"/>
        </w:rPr>
        <w:t>2022年桃園航空城優先產業專用區</w:t>
      </w:r>
      <w:r w:rsidR="00661EA1">
        <w:rPr>
          <w:rFonts w:ascii="微軟正黑體" w:eastAsia="微軟正黑體" w:hAnsi="微軟正黑體" w:cs="Arial" w:hint="eastAsia"/>
          <w:spacing w:val="5"/>
          <w:kern w:val="28"/>
          <w:sz w:val="24"/>
        </w:rPr>
        <w:t>的</w:t>
      </w:r>
      <w:r w:rsidR="005F5053">
        <w:rPr>
          <w:rFonts w:ascii="微軟正黑體" w:eastAsia="微軟正黑體" w:hAnsi="微軟正黑體" w:cs="Arial" w:hint="eastAsia"/>
          <w:spacing w:val="5"/>
          <w:kern w:val="28"/>
          <w:sz w:val="24"/>
        </w:rPr>
        <w:t>標售更帶起台灣大面積工業土地購買熱潮，</w:t>
      </w:r>
      <w:r w:rsidR="00661EA1">
        <w:rPr>
          <w:rFonts w:ascii="微軟正黑體" w:eastAsia="微軟正黑體" w:hAnsi="微軟正黑體" w:cs="Arial" w:hint="eastAsia"/>
          <w:spacing w:val="5"/>
          <w:kern w:val="28"/>
          <w:sz w:val="24"/>
        </w:rPr>
        <w:t>由於地點優良，基礎建設到位，</w:t>
      </w:r>
      <w:r w:rsidR="005F5053">
        <w:rPr>
          <w:rFonts w:ascii="微軟正黑體" w:eastAsia="微軟正黑體" w:hAnsi="微軟正黑體" w:cs="Arial" w:hint="eastAsia"/>
          <w:spacing w:val="5"/>
          <w:kern w:val="28"/>
          <w:sz w:val="24"/>
        </w:rPr>
        <w:t>一口氣標出五筆7000坪土地，星</w:t>
      </w:r>
      <w:proofErr w:type="gramStart"/>
      <w:r w:rsidR="005F5053">
        <w:rPr>
          <w:rFonts w:ascii="微軟正黑體" w:eastAsia="微軟正黑體" w:hAnsi="微軟正黑體" w:cs="Arial" w:hint="eastAsia"/>
          <w:spacing w:val="5"/>
          <w:kern w:val="28"/>
          <w:sz w:val="24"/>
        </w:rPr>
        <w:t>宇航空更一次</w:t>
      </w:r>
      <w:proofErr w:type="gramEnd"/>
      <w:r w:rsidR="005F5053">
        <w:rPr>
          <w:rFonts w:ascii="微軟正黑體" w:eastAsia="微軟正黑體" w:hAnsi="微軟正黑體" w:cs="Arial" w:hint="eastAsia"/>
          <w:spacing w:val="5"/>
          <w:kern w:val="28"/>
          <w:sz w:val="24"/>
        </w:rPr>
        <w:t>大手筆包下43500坪做為企業發展之用，可見大型工業土地</w:t>
      </w:r>
      <w:proofErr w:type="gramStart"/>
      <w:r w:rsidR="005F5053">
        <w:rPr>
          <w:rFonts w:ascii="微軟正黑體" w:eastAsia="微軟正黑體" w:hAnsi="微軟正黑體" w:cs="Arial" w:hint="eastAsia"/>
          <w:spacing w:val="5"/>
          <w:kern w:val="28"/>
          <w:sz w:val="24"/>
        </w:rPr>
        <w:t>非常稀缺</w:t>
      </w:r>
      <w:proofErr w:type="gramEnd"/>
      <w:r w:rsidR="005F5053">
        <w:rPr>
          <w:rFonts w:ascii="微軟正黑體" w:eastAsia="微軟正黑體" w:hAnsi="微軟正黑體" w:cs="Arial" w:hint="eastAsia"/>
          <w:spacing w:val="5"/>
          <w:kern w:val="28"/>
          <w:sz w:val="24"/>
        </w:rPr>
        <w:t>。</w:t>
      </w:r>
      <w:r w:rsidR="00661EA1">
        <w:rPr>
          <w:rFonts w:ascii="微軟正黑體" w:eastAsia="微軟正黑體" w:hAnsi="微軟正黑體" w:cs="Arial" w:hint="eastAsia"/>
          <w:spacing w:val="5"/>
          <w:kern w:val="28"/>
          <w:sz w:val="24"/>
        </w:rPr>
        <w:t>而位於大園全新開發的</w:t>
      </w:r>
      <w:r w:rsidR="00661EA1" w:rsidRPr="00661EA1">
        <w:rPr>
          <w:rFonts w:ascii="微軟正黑體" w:eastAsia="微軟正黑體" w:hAnsi="微軟正黑體" w:cs="Arial" w:hint="eastAsia"/>
          <w:spacing w:val="5"/>
          <w:kern w:val="28"/>
          <w:sz w:val="24"/>
        </w:rPr>
        <w:t>沙崙產業園區</w:t>
      </w:r>
      <w:r w:rsidR="00661EA1">
        <w:rPr>
          <w:rFonts w:ascii="微軟正黑體" w:eastAsia="微軟正黑體" w:hAnsi="微軟正黑體" w:cs="Arial" w:hint="eastAsia"/>
          <w:spacing w:val="5"/>
          <w:kern w:val="28"/>
          <w:sz w:val="24"/>
        </w:rPr>
        <w:t>，更是</w:t>
      </w:r>
      <w:r w:rsidR="004D0249">
        <w:rPr>
          <w:rFonts w:ascii="微軟正黑體" w:eastAsia="微軟正黑體" w:hAnsi="微軟正黑體" w:cs="Arial" w:hint="eastAsia"/>
          <w:spacing w:val="5"/>
          <w:kern w:val="28"/>
          <w:sz w:val="24"/>
        </w:rPr>
        <w:t>短短不到三年全數土地幾乎銷售完畢</w:t>
      </w:r>
      <w:r w:rsidR="002B0874">
        <w:rPr>
          <w:rFonts w:ascii="微軟正黑體" w:eastAsia="微軟正黑體" w:hAnsi="微軟正黑體" w:cs="Arial" w:hint="eastAsia"/>
          <w:spacing w:val="5"/>
          <w:kern w:val="28"/>
          <w:sz w:val="24"/>
        </w:rPr>
        <w:t>。再加上</w:t>
      </w:r>
      <w:r w:rsidR="002B0874" w:rsidRPr="00BA2469">
        <w:rPr>
          <w:rFonts w:ascii="微軟正黑體" w:eastAsia="微軟正黑體" w:hAnsi="微軟正黑體" w:hint="eastAsia"/>
          <w:color w:val="111111"/>
          <w:spacing w:val="15"/>
          <w:sz w:val="24"/>
        </w:rPr>
        <w:t>電商蝦皮、酷</w:t>
      </w:r>
      <w:proofErr w:type="gramStart"/>
      <w:r w:rsidR="002B0874" w:rsidRPr="00BA2469">
        <w:rPr>
          <w:rFonts w:ascii="微軟正黑體" w:eastAsia="微軟正黑體" w:hAnsi="微軟正黑體" w:hint="eastAsia"/>
          <w:color w:val="111111"/>
          <w:spacing w:val="15"/>
          <w:sz w:val="24"/>
        </w:rPr>
        <w:t>澎</w:t>
      </w:r>
      <w:proofErr w:type="gramEnd"/>
      <w:r w:rsidR="002B0874">
        <w:rPr>
          <w:rFonts w:ascii="微軟正黑體" w:eastAsia="微軟正黑體" w:hAnsi="微軟正黑體" w:hint="eastAsia"/>
          <w:color w:val="111111"/>
          <w:spacing w:val="15"/>
          <w:sz w:val="24"/>
        </w:rPr>
        <w:t>積極擴編且半導體供應鏈持續加碼投資</w:t>
      </w:r>
      <w:r w:rsidR="002B0874" w:rsidRPr="00BA2469">
        <w:rPr>
          <w:rFonts w:ascii="微軟正黑體" w:eastAsia="微軟正黑體" w:hAnsi="微軟正黑體" w:hint="eastAsia"/>
          <w:color w:val="111111"/>
          <w:spacing w:val="15"/>
          <w:sz w:val="24"/>
        </w:rPr>
        <w:t>台灣，</w:t>
      </w:r>
      <w:r w:rsidR="002B0874">
        <w:rPr>
          <w:rFonts w:ascii="微軟正黑體" w:eastAsia="微軟正黑體" w:hAnsi="微軟正黑體" w:hint="eastAsia"/>
          <w:color w:val="111111"/>
          <w:spacing w:val="15"/>
          <w:sz w:val="24"/>
        </w:rPr>
        <w:t>物流倉庫業者可謂是這波大面積土地最忠實的擁護者！</w:t>
      </w:r>
      <w:r w:rsidR="005F5053">
        <w:rPr>
          <w:rFonts w:ascii="微軟正黑體" w:eastAsia="微軟正黑體" w:hAnsi="微軟正黑體" w:cs="Arial" w:hint="eastAsia"/>
          <w:spacing w:val="5"/>
          <w:kern w:val="28"/>
          <w:sz w:val="24"/>
        </w:rPr>
        <w:t>2023年起延燒至今的A</w:t>
      </w:r>
      <w:r w:rsidR="005F5053">
        <w:rPr>
          <w:rFonts w:ascii="微軟正黑體" w:eastAsia="微軟正黑體" w:hAnsi="微軟正黑體" w:cs="Arial"/>
          <w:spacing w:val="5"/>
          <w:kern w:val="28"/>
          <w:sz w:val="24"/>
        </w:rPr>
        <w:t>I</w:t>
      </w:r>
      <w:r w:rsidR="004D0249" w:rsidRPr="004D0249">
        <w:rPr>
          <w:rFonts w:ascii="微軟正黑體" w:eastAsia="微軟正黑體" w:hAnsi="微軟正黑體" w:cs="Arial"/>
          <w:spacing w:val="5"/>
          <w:kern w:val="28"/>
          <w:sz w:val="24"/>
        </w:rPr>
        <w:t>應用與半導體相關產業火燙</w:t>
      </w:r>
      <w:r w:rsidR="005F5053">
        <w:rPr>
          <w:rFonts w:ascii="微軟正黑體" w:eastAsia="微軟正黑體" w:hAnsi="微軟正黑體" w:cs="Arial" w:hint="eastAsia"/>
          <w:spacing w:val="5"/>
          <w:kern w:val="28"/>
          <w:sz w:val="24"/>
        </w:rPr>
        <w:t>熱潮，以及新聞媒體不斷提到亞馬遜AWS, 蘋果Apple等外資擴大在台投資資料處理中心，加上台灣這幾年早以壯大的再生能源業者，電池製造商，外商物流業者等</w:t>
      </w:r>
      <w:r w:rsidR="005F5053">
        <w:rPr>
          <w:rFonts w:ascii="微軟正黑體" w:eastAsia="微軟正黑體" w:hAnsi="微軟正黑體" w:cs="Arial" w:hint="eastAsia"/>
          <w:spacing w:val="5"/>
          <w:kern w:val="28"/>
          <w:sz w:val="24"/>
        </w:rPr>
        <w:t>等</w:t>
      </w:r>
      <w:r w:rsidR="005F5053">
        <w:rPr>
          <w:rFonts w:ascii="微軟正黑體" w:eastAsia="微軟正黑體" w:hAnsi="微軟正黑體" w:cs="Arial" w:hint="eastAsia"/>
          <w:spacing w:val="5"/>
          <w:kern w:val="28"/>
          <w:sz w:val="24"/>
        </w:rPr>
        <w:t>，皆有大</w:t>
      </w:r>
      <w:r w:rsidR="002B0874">
        <w:rPr>
          <w:rFonts w:ascii="微軟正黑體" w:eastAsia="微軟正黑體" w:hAnsi="微軟正黑體" w:cs="Arial" w:hint="eastAsia"/>
          <w:spacing w:val="5"/>
          <w:kern w:val="28"/>
          <w:sz w:val="24"/>
        </w:rPr>
        <w:t>型</w:t>
      </w:r>
      <w:r w:rsidR="005F5053">
        <w:rPr>
          <w:rFonts w:ascii="微軟正黑體" w:eastAsia="微軟正黑體" w:hAnsi="微軟正黑體" w:cs="Arial" w:hint="eastAsia"/>
          <w:spacing w:val="5"/>
          <w:kern w:val="28"/>
          <w:sz w:val="24"/>
        </w:rPr>
        <w:t>土地的需求</w:t>
      </w:r>
      <w:r w:rsidR="004D0249">
        <w:rPr>
          <w:rFonts w:ascii="微軟正黑體" w:eastAsia="微軟正黑體" w:hAnsi="微軟正黑體" w:cs="Arial" w:hint="eastAsia"/>
          <w:spacing w:val="5"/>
          <w:kern w:val="28"/>
          <w:sz w:val="24"/>
        </w:rPr>
        <w:t>，</w:t>
      </w:r>
      <w:r w:rsidR="002B0874">
        <w:rPr>
          <w:rFonts w:ascii="微軟正黑體" w:eastAsia="微軟正黑體" w:hAnsi="微軟正黑體" w:cs="Arial" w:hint="eastAsia"/>
          <w:spacing w:val="5"/>
          <w:kern w:val="28"/>
          <w:sz w:val="24"/>
        </w:rPr>
        <w:t>可惜大型</w:t>
      </w:r>
      <w:r w:rsidR="004D0249" w:rsidRPr="002B0874">
        <w:rPr>
          <w:rFonts w:ascii="微軟正黑體" w:eastAsia="微軟正黑體" w:hAnsi="微軟正黑體" w:cs="Arial" w:hint="eastAsia"/>
          <w:spacing w:val="5"/>
          <w:kern w:val="28"/>
          <w:sz w:val="24"/>
        </w:rPr>
        <w:t>土地</w:t>
      </w:r>
      <w:r w:rsidR="002B0874" w:rsidRPr="002B0874">
        <w:rPr>
          <w:rFonts w:ascii="微軟正黑體" w:eastAsia="微軟正黑體" w:hAnsi="微軟正黑體" w:cs="Arial" w:hint="eastAsia"/>
          <w:spacing w:val="5"/>
          <w:kern w:val="28"/>
          <w:sz w:val="24"/>
        </w:rPr>
        <w:t>所有權</w:t>
      </w:r>
      <w:r w:rsidR="004D0249" w:rsidRPr="002B0874">
        <w:rPr>
          <w:rFonts w:ascii="微軟正黑體" w:eastAsia="微軟正黑體" w:hAnsi="微軟正黑體" w:cs="Arial" w:hint="eastAsia"/>
          <w:spacing w:val="5"/>
          <w:kern w:val="28"/>
          <w:sz w:val="24"/>
        </w:rPr>
        <w:t>取得</w:t>
      </w:r>
      <w:r w:rsidR="004D0249" w:rsidRPr="002B0874">
        <w:rPr>
          <w:rFonts w:ascii="微軟正黑體" w:eastAsia="微軟正黑體" w:hAnsi="微軟正黑體" w:cs="Arial" w:hint="eastAsia"/>
          <w:spacing w:val="5"/>
          <w:kern w:val="28"/>
          <w:sz w:val="24"/>
        </w:rPr>
        <w:t>難度</w:t>
      </w:r>
      <w:r w:rsidR="002B0874">
        <w:rPr>
          <w:rFonts w:ascii="微軟正黑體" w:eastAsia="微軟正黑體" w:hAnsi="微軟正黑體" w:cs="Arial" w:hint="eastAsia"/>
          <w:spacing w:val="5"/>
          <w:kern w:val="28"/>
          <w:sz w:val="24"/>
        </w:rPr>
        <w:t>非常</w:t>
      </w:r>
      <w:r w:rsidR="004D0249" w:rsidRPr="002B0874">
        <w:rPr>
          <w:rFonts w:ascii="微軟正黑體" w:eastAsia="微軟正黑體" w:hAnsi="微軟正黑體" w:cs="Arial" w:hint="eastAsia"/>
          <w:spacing w:val="5"/>
          <w:kern w:val="28"/>
          <w:sz w:val="24"/>
        </w:rPr>
        <w:t>高</w:t>
      </w:r>
      <w:r w:rsidR="005F5053">
        <w:rPr>
          <w:rFonts w:ascii="微軟正黑體" w:eastAsia="微軟正黑體" w:hAnsi="微軟正黑體" w:cs="Arial" w:hint="eastAsia"/>
          <w:spacing w:val="5"/>
          <w:kern w:val="28"/>
          <w:sz w:val="24"/>
        </w:rPr>
        <w:t>，使得只要上萬坪的土地在市場公開，</w:t>
      </w:r>
      <w:r w:rsidR="00661EA1">
        <w:rPr>
          <w:rFonts w:ascii="微軟正黑體" w:eastAsia="微軟正黑體" w:hAnsi="微軟正黑體" w:cs="Arial" w:hint="eastAsia"/>
          <w:spacing w:val="5"/>
          <w:kern w:val="28"/>
          <w:sz w:val="24"/>
        </w:rPr>
        <w:t>只要基礎建設良好，土地規劃完善，</w:t>
      </w:r>
      <w:r w:rsidR="002B0874">
        <w:rPr>
          <w:rFonts w:ascii="微軟正黑體" w:eastAsia="微軟正黑體" w:hAnsi="微軟正黑體" w:cs="Arial" w:hint="eastAsia"/>
          <w:spacing w:val="5"/>
          <w:kern w:val="28"/>
          <w:sz w:val="24"/>
        </w:rPr>
        <w:t>便容易吸引</w:t>
      </w:r>
      <w:r w:rsidR="00661EA1">
        <w:rPr>
          <w:rFonts w:ascii="微軟正黑體" w:eastAsia="微軟正黑體" w:hAnsi="微軟正黑體" w:cs="Arial" w:hint="eastAsia"/>
          <w:spacing w:val="5"/>
          <w:kern w:val="28"/>
          <w:sz w:val="24"/>
        </w:rPr>
        <w:t>高度</w:t>
      </w:r>
      <w:r w:rsidR="002B0874">
        <w:rPr>
          <w:rFonts w:ascii="微軟正黑體" w:eastAsia="微軟正黑體" w:hAnsi="微軟正黑體" w:cs="Arial" w:hint="eastAsia"/>
          <w:spacing w:val="5"/>
          <w:kern w:val="28"/>
          <w:sz w:val="24"/>
        </w:rPr>
        <w:t>眼神關愛</w:t>
      </w:r>
      <w:r w:rsidR="005F5053">
        <w:rPr>
          <w:rFonts w:ascii="微軟正黑體" w:eastAsia="微軟正黑體" w:hAnsi="微軟正黑體" w:cs="Arial" w:hint="eastAsia"/>
          <w:spacing w:val="5"/>
          <w:kern w:val="28"/>
          <w:sz w:val="24"/>
        </w:rPr>
        <w:t>矚目！</w:t>
      </w:r>
    </w:p>
    <w:p w14:paraId="7CBAE91F" w14:textId="7F40B2B7" w:rsidR="005F5053" w:rsidRDefault="00661EA1" w:rsidP="00661EA1">
      <w:pPr>
        <w:widowControl/>
        <w:rPr>
          <w:rFonts w:ascii="微軟正黑體" w:eastAsia="微軟正黑體" w:hAnsi="微軟正黑體" w:cs="Arial"/>
          <w:spacing w:val="5"/>
          <w:kern w:val="28"/>
          <w:sz w:val="24"/>
        </w:rPr>
      </w:pPr>
      <w:r>
        <w:rPr>
          <w:rFonts w:ascii="微軟正黑體" w:eastAsia="微軟正黑體" w:hAnsi="微軟正黑體" w:cs="Arial" w:hint="eastAsia"/>
          <w:spacing w:val="5"/>
          <w:kern w:val="28"/>
          <w:sz w:val="24"/>
        </w:rPr>
        <w:lastRenderedPageBreak/>
        <w:t>不少持有上萬坪工業土地的地主這幾年都不斷被政府</w:t>
      </w:r>
      <w:r w:rsidRPr="004D0249">
        <w:rPr>
          <w:rFonts w:ascii="微軟正黑體" w:eastAsia="微軟正黑體" w:hAnsi="微軟正黑體" w:cs="Arial" w:hint="eastAsia"/>
          <w:spacing w:val="5"/>
          <w:kern w:val="28"/>
          <w:sz w:val="24"/>
        </w:rPr>
        <w:t>、</w:t>
      </w:r>
      <w:r w:rsidRPr="004D0249">
        <w:rPr>
          <w:rFonts w:ascii="微軟正黑體" w:eastAsia="微軟正黑體" w:hAnsi="微軟正黑體" w:cs="Arial" w:hint="eastAsia"/>
          <w:spacing w:val="5"/>
          <w:kern w:val="28"/>
          <w:sz w:val="24"/>
        </w:rPr>
        <w:t>買方</w:t>
      </w:r>
      <w:r w:rsidRPr="004D0249">
        <w:rPr>
          <w:rFonts w:ascii="微軟正黑體" w:eastAsia="微軟正黑體" w:hAnsi="微軟正黑體" w:cs="Arial" w:hint="eastAsia"/>
          <w:spacing w:val="5"/>
          <w:kern w:val="28"/>
          <w:sz w:val="24"/>
        </w:rPr>
        <w:t>、</w:t>
      </w:r>
      <w:r w:rsidRPr="004D0249">
        <w:rPr>
          <w:rFonts w:ascii="微軟正黑體" w:eastAsia="微軟正黑體" w:hAnsi="微軟正黑體" w:cs="Arial" w:hint="eastAsia"/>
          <w:spacing w:val="5"/>
          <w:kern w:val="28"/>
          <w:sz w:val="24"/>
        </w:rPr>
        <w:t>仲介</w:t>
      </w:r>
      <w:r w:rsidRPr="004D0249">
        <w:rPr>
          <w:rFonts w:ascii="微軟正黑體" w:eastAsia="微軟正黑體" w:hAnsi="微軟正黑體" w:cs="Arial" w:hint="eastAsia"/>
          <w:spacing w:val="5"/>
          <w:kern w:val="28"/>
          <w:sz w:val="24"/>
        </w:rPr>
        <w:t>、</w:t>
      </w:r>
      <w:r w:rsidRPr="004D0249">
        <w:rPr>
          <w:rFonts w:ascii="微軟正黑體" w:eastAsia="微軟正黑體" w:hAnsi="微軟正黑體" w:cs="Arial" w:hint="eastAsia"/>
          <w:spacing w:val="5"/>
          <w:kern w:val="28"/>
          <w:sz w:val="24"/>
        </w:rPr>
        <w:t>外資詢問是否願意處分土地。有些地主選擇自行投資，也有地主選擇與買方合作。其中</w:t>
      </w:r>
      <w:proofErr w:type="gramStart"/>
      <w:r w:rsidRPr="004D0249">
        <w:rPr>
          <w:rFonts w:ascii="微軟正黑體" w:eastAsia="微軟正黑體" w:hAnsi="微軟正黑體" w:cs="Arial" w:hint="eastAsia"/>
          <w:spacing w:val="5"/>
          <w:kern w:val="28"/>
          <w:sz w:val="24"/>
        </w:rPr>
        <w:t>一塊位園桃園</w:t>
      </w:r>
      <w:proofErr w:type="gramEnd"/>
      <w:r w:rsidRPr="004D0249">
        <w:rPr>
          <w:rFonts w:ascii="微軟正黑體" w:eastAsia="微軟正黑體" w:hAnsi="微軟正黑體" w:cs="Arial" w:hint="eastAsia"/>
          <w:spacing w:val="5"/>
          <w:kern w:val="28"/>
          <w:sz w:val="24"/>
        </w:rPr>
        <w:t>科技園區約８公頃的土地，地主自購入之後便不斷收到</w:t>
      </w:r>
      <w:r w:rsidR="002B0874">
        <w:rPr>
          <w:rFonts w:ascii="微軟正黑體" w:eastAsia="微軟正黑體" w:hAnsi="微軟正黑體" w:cs="Arial" w:hint="eastAsia"/>
          <w:spacing w:val="5"/>
          <w:kern w:val="28"/>
          <w:sz w:val="24"/>
        </w:rPr>
        <w:t>企盼釋出的關愛眼神。</w:t>
      </w:r>
      <w:r w:rsidRPr="004D0249">
        <w:rPr>
          <w:rFonts w:ascii="微軟正黑體" w:eastAsia="微軟正黑體" w:hAnsi="微軟正黑體" w:cs="Arial" w:hint="eastAsia"/>
          <w:spacing w:val="5"/>
          <w:kern w:val="28"/>
          <w:sz w:val="24"/>
        </w:rPr>
        <w:t>尤其這兩年順應大型工業土地投資的熱潮</w:t>
      </w:r>
      <w:r w:rsidR="004D0249">
        <w:rPr>
          <w:rFonts w:ascii="微軟正黑體" w:eastAsia="微軟正黑體" w:hAnsi="微軟正黑體" w:cs="Arial" w:hint="eastAsia"/>
          <w:spacing w:val="5"/>
          <w:kern w:val="28"/>
          <w:sz w:val="24"/>
        </w:rPr>
        <w:t>，詢問熱度更是有增無減。負責</w:t>
      </w:r>
      <w:r w:rsidR="00126073">
        <w:rPr>
          <w:rFonts w:ascii="微軟正黑體" w:eastAsia="微軟正黑體" w:hAnsi="微軟正黑體" w:cs="Arial" w:hint="eastAsia"/>
          <w:spacing w:val="5"/>
          <w:kern w:val="28"/>
          <w:sz w:val="24"/>
        </w:rPr>
        <w:t>本案</w:t>
      </w:r>
      <w:r w:rsidR="004D0249">
        <w:rPr>
          <w:rFonts w:ascii="微軟正黑體" w:eastAsia="微軟正黑體" w:hAnsi="微軟正黑體" w:cs="Arial" w:hint="eastAsia"/>
          <w:spacing w:val="5"/>
          <w:kern w:val="28"/>
          <w:sz w:val="24"/>
        </w:rPr>
        <w:t>獨家銷售的戴德梁行</w:t>
      </w:r>
      <w:r w:rsidR="004D0249" w:rsidRPr="00126073">
        <w:rPr>
          <w:rFonts w:ascii="微軟正黑體" w:eastAsia="微軟正黑體" w:hAnsi="微軟正黑體" w:cs="Arial" w:hint="eastAsia"/>
          <w:spacing w:val="5"/>
          <w:kern w:val="28"/>
          <w:sz w:val="24"/>
        </w:rPr>
        <w:t>企業顧問服務部</w:t>
      </w:r>
      <w:r w:rsidR="006305C0" w:rsidRPr="006305C0">
        <w:rPr>
          <w:rFonts w:ascii="微軟正黑體" w:eastAsia="微軟正黑體" w:hAnsi="微軟正黑體" w:cs="Arial" w:hint="eastAsia"/>
          <w:spacing w:val="5"/>
          <w:kern w:val="28"/>
          <w:sz w:val="24"/>
        </w:rPr>
        <w:t>執行</w:t>
      </w:r>
      <w:r w:rsidR="004D0249" w:rsidRPr="00126073">
        <w:rPr>
          <w:rFonts w:ascii="微軟正黑體" w:eastAsia="微軟正黑體" w:hAnsi="微軟正黑體" w:cs="Arial" w:hint="eastAsia"/>
          <w:spacing w:val="5"/>
          <w:kern w:val="28"/>
          <w:sz w:val="24"/>
        </w:rPr>
        <w:t>董事江品頤</w:t>
      </w:r>
      <w:r w:rsidR="004D0249" w:rsidRPr="00126073">
        <w:rPr>
          <w:rFonts w:ascii="微軟正黑體" w:eastAsia="微軟正黑體" w:hAnsi="微軟正黑體" w:cs="Arial" w:hint="eastAsia"/>
          <w:spacing w:val="5"/>
          <w:kern w:val="28"/>
          <w:sz w:val="24"/>
        </w:rPr>
        <w:t>提到：「這土地自五年前戴德梁行銷售後，便不斷接到來自各方</w:t>
      </w:r>
      <w:r w:rsidR="00134ECD">
        <w:rPr>
          <w:rFonts w:ascii="微軟正黑體" w:eastAsia="微軟正黑體" w:hAnsi="微軟正黑體" w:cs="Arial" w:hint="eastAsia"/>
          <w:spacing w:val="5"/>
          <w:kern w:val="28"/>
          <w:sz w:val="24"/>
        </w:rPr>
        <w:t>包含世界知名外商私募基金</w:t>
      </w:r>
      <w:r w:rsidR="004D0249" w:rsidRPr="00126073">
        <w:rPr>
          <w:rFonts w:ascii="微軟正黑體" w:eastAsia="微軟正黑體" w:hAnsi="微軟正黑體" w:cs="Arial" w:hint="eastAsia"/>
          <w:spacing w:val="5"/>
          <w:kern w:val="28"/>
          <w:sz w:val="24"/>
        </w:rPr>
        <w:t>洽詢收購的電話。今年地主看</w:t>
      </w:r>
      <w:proofErr w:type="gramStart"/>
      <w:r w:rsidR="004D0249" w:rsidRPr="00126073">
        <w:rPr>
          <w:rFonts w:ascii="微軟正黑體" w:eastAsia="微軟正黑體" w:hAnsi="微軟正黑體" w:cs="Arial" w:hint="eastAsia"/>
          <w:spacing w:val="5"/>
          <w:kern w:val="28"/>
          <w:sz w:val="24"/>
        </w:rPr>
        <w:t>準</w:t>
      </w:r>
      <w:proofErr w:type="gramEnd"/>
      <w:r w:rsidR="004D0249" w:rsidRPr="00126073">
        <w:rPr>
          <w:rFonts w:ascii="微軟正黑體" w:eastAsia="微軟正黑體" w:hAnsi="微軟正黑體" w:cs="Arial" w:hint="eastAsia"/>
          <w:spacing w:val="5"/>
          <w:kern w:val="28"/>
          <w:sz w:val="24"/>
        </w:rPr>
        <w:t>台灣未來</w:t>
      </w:r>
      <w:r w:rsidR="002B0874" w:rsidRPr="00126073">
        <w:rPr>
          <w:rFonts w:ascii="微軟正黑體" w:eastAsia="微軟正黑體" w:hAnsi="微軟正黑體" w:cs="Arial" w:hint="eastAsia"/>
          <w:spacing w:val="5"/>
          <w:kern w:val="28"/>
          <w:sz w:val="24"/>
        </w:rPr>
        <w:t>爆炸性成長</w:t>
      </w:r>
      <w:r w:rsidR="002B0874">
        <w:rPr>
          <w:rFonts w:ascii="微軟正黑體" w:eastAsia="微軟正黑體" w:hAnsi="微軟正黑體" w:cs="Arial" w:hint="eastAsia"/>
          <w:spacing w:val="5"/>
          <w:kern w:val="28"/>
          <w:sz w:val="24"/>
        </w:rPr>
        <w:t>的</w:t>
      </w:r>
      <w:r w:rsidR="004D0249" w:rsidRPr="00126073">
        <w:rPr>
          <w:rFonts w:ascii="微軟正黑體" w:eastAsia="微軟正黑體" w:hAnsi="微軟正黑體" w:cs="Arial" w:hint="eastAsia"/>
          <w:spacing w:val="5"/>
          <w:kern w:val="28"/>
          <w:sz w:val="24"/>
        </w:rPr>
        <w:t>產業需求，</w:t>
      </w:r>
      <w:r w:rsidR="00126073">
        <w:rPr>
          <w:rFonts w:ascii="微軟正黑體" w:eastAsia="微軟正黑體" w:hAnsi="微軟正黑體" w:cs="Arial" w:hint="eastAsia"/>
          <w:spacing w:val="5"/>
          <w:kern w:val="28"/>
          <w:sz w:val="24"/>
        </w:rPr>
        <w:t>決定</w:t>
      </w:r>
      <w:r w:rsidR="002B0874">
        <w:rPr>
          <w:rFonts w:ascii="微軟正黑體" w:eastAsia="微軟正黑體" w:hAnsi="微軟正黑體" w:cs="Arial" w:hint="eastAsia"/>
          <w:spacing w:val="5"/>
          <w:kern w:val="28"/>
          <w:sz w:val="24"/>
        </w:rPr>
        <w:t>割愛</w:t>
      </w:r>
      <w:r w:rsidR="00126073">
        <w:rPr>
          <w:rFonts w:ascii="微軟正黑體" w:eastAsia="微軟正黑體" w:hAnsi="微軟正黑體" w:cs="Arial" w:hint="eastAsia"/>
          <w:spacing w:val="5"/>
          <w:kern w:val="28"/>
          <w:sz w:val="24"/>
        </w:rPr>
        <w:t>正式公告出售</w:t>
      </w:r>
      <w:r w:rsidR="004D0249" w:rsidRPr="00126073">
        <w:rPr>
          <w:rFonts w:ascii="微軟正黑體" w:eastAsia="微軟正黑體" w:hAnsi="微軟正黑體" w:cs="Arial" w:hint="eastAsia"/>
          <w:spacing w:val="5"/>
          <w:kern w:val="28"/>
          <w:sz w:val="24"/>
        </w:rPr>
        <w:t>。」</w:t>
      </w:r>
      <w:r w:rsidR="00126073" w:rsidRPr="00126073">
        <w:rPr>
          <w:rFonts w:ascii="微軟正黑體" w:eastAsia="微軟正黑體" w:hAnsi="微軟正黑體" w:cs="Arial" w:hint="eastAsia"/>
          <w:spacing w:val="5"/>
          <w:kern w:val="28"/>
          <w:sz w:val="24"/>
        </w:rPr>
        <w:t>江品頤</w:t>
      </w:r>
      <w:r w:rsidR="00126073">
        <w:rPr>
          <w:rFonts w:ascii="微軟正黑體" w:eastAsia="微軟正黑體" w:hAnsi="微軟正黑體" w:cs="Arial" w:hint="eastAsia"/>
          <w:spacing w:val="5"/>
          <w:kern w:val="28"/>
          <w:sz w:val="24"/>
        </w:rPr>
        <w:t>也</w:t>
      </w:r>
      <w:r w:rsidR="00126073" w:rsidRPr="00126073">
        <w:rPr>
          <w:rFonts w:ascii="微軟正黑體" w:eastAsia="微軟正黑體" w:hAnsi="微軟正黑體" w:cs="Arial" w:hint="eastAsia"/>
          <w:spacing w:val="5"/>
          <w:kern w:val="28"/>
          <w:sz w:val="24"/>
        </w:rPr>
        <w:t>提到：「</w:t>
      </w:r>
      <w:r w:rsidR="00126073">
        <w:rPr>
          <w:rFonts w:ascii="微軟正黑體" w:eastAsia="微軟正黑體" w:hAnsi="微軟正黑體" w:cs="Arial" w:hint="eastAsia"/>
          <w:spacing w:val="5"/>
          <w:kern w:val="28"/>
          <w:sz w:val="24"/>
        </w:rPr>
        <w:t>本案是現有桃園工業區內釋出面積最大的一筆土地，高達24500坪</w:t>
      </w:r>
      <w:r w:rsidR="002B0874">
        <w:rPr>
          <w:rFonts w:ascii="微軟正黑體" w:eastAsia="微軟正黑體" w:hAnsi="微軟正黑體" w:cs="Arial" w:hint="eastAsia"/>
          <w:spacing w:val="5"/>
          <w:kern w:val="28"/>
          <w:sz w:val="24"/>
        </w:rPr>
        <w:t>，</w:t>
      </w:r>
      <w:r w:rsidR="002B0874">
        <w:rPr>
          <w:rFonts w:ascii="微軟正黑體" w:eastAsia="微軟正黑體" w:hAnsi="微軟正黑體" w:cs="Arial" w:hint="eastAsia"/>
          <w:spacing w:val="5"/>
          <w:kern w:val="28"/>
          <w:sz w:val="24"/>
        </w:rPr>
        <w:t>可依產業需求分割</w:t>
      </w:r>
      <w:r w:rsidR="00126073">
        <w:rPr>
          <w:rFonts w:ascii="微軟正黑體" w:eastAsia="微軟正黑體" w:hAnsi="微軟正黑體" w:cs="Arial" w:hint="eastAsia"/>
          <w:spacing w:val="5"/>
          <w:kern w:val="28"/>
          <w:sz w:val="24"/>
        </w:rPr>
        <w:t>，位於黃金角地，最大面寬超過300公尺，</w:t>
      </w:r>
      <w:r w:rsidR="002B0874">
        <w:rPr>
          <w:rFonts w:ascii="微軟正黑體" w:eastAsia="微軟正黑體" w:hAnsi="微軟正黑體" w:cs="Arial" w:hint="eastAsia"/>
          <w:spacing w:val="5"/>
          <w:kern w:val="28"/>
          <w:sz w:val="24"/>
        </w:rPr>
        <w:t>格局方正</w:t>
      </w:r>
      <w:r w:rsidR="00126073">
        <w:rPr>
          <w:rFonts w:ascii="微軟正黑體" w:eastAsia="微軟正黑體" w:hAnsi="微軟正黑體" w:cs="Arial" w:hint="eastAsia"/>
          <w:spacing w:val="5"/>
          <w:kern w:val="28"/>
          <w:sz w:val="24"/>
        </w:rPr>
        <w:t>且位於基礎設施良好的工業區，相信是目前市場上最稀有的工業地</w:t>
      </w:r>
      <w:r w:rsidR="00126073" w:rsidRPr="00126073">
        <w:rPr>
          <w:rFonts w:ascii="微軟正黑體" w:eastAsia="微軟正黑體" w:hAnsi="微軟正黑體" w:cs="Arial" w:hint="eastAsia"/>
          <w:spacing w:val="5"/>
          <w:kern w:val="28"/>
          <w:sz w:val="24"/>
        </w:rPr>
        <w:t>。</w:t>
      </w:r>
      <w:r w:rsidR="00126073">
        <w:rPr>
          <w:rFonts w:ascii="微軟正黑體" w:eastAsia="微軟正黑體" w:hAnsi="微軟正黑體" w:cs="Arial" w:hint="eastAsia"/>
          <w:spacing w:val="5"/>
          <w:kern w:val="28"/>
          <w:sz w:val="24"/>
        </w:rPr>
        <w:t>而且，台灣工業土地已經</w:t>
      </w:r>
      <w:r w:rsidR="002B0874">
        <w:rPr>
          <w:rFonts w:ascii="微軟正黑體" w:eastAsia="微軟正黑體" w:hAnsi="微軟正黑體" w:cs="Arial" w:hint="eastAsia"/>
          <w:spacing w:val="5"/>
          <w:kern w:val="28"/>
          <w:sz w:val="24"/>
        </w:rPr>
        <w:t>每</w:t>
      </w:r>
      <w:proofErr w:type="gramStart"/>
      <w:r w:rsidR="002B0874">
        <w:rPr>
          <w:rFonts w:ascii="微軟正黑體" w:eastAsia="微軟正黑體" w:hAnsi="微軟正黑體" w:cs="Arial" w:hint="eastAsia"/>
          <w:spacing w:val="5"/>
          <w:kern w:val="28"/>
          <w:sz w:val="24"/>
        </w:rPr>
        <w:t>坪</w:t>
      </w:r>
      <w:r w:rsidR="00126073">
        <w:rPr>
          <w:rFonts w:ascii="微軟正黑體" w:eastAsia="微軟正黑體" w:hAnsi="微軟正黑體" w:cs="Arial" w:hint="eastAsia"/>
          <w:spacing w:val="5"/>
          <w:kern w:val="28"/>
          <w:sz w:val="24"/>
        </w:rPr>
        <w:t>破百萬，</w:t>
      </w:r>
      <w:proofErr w:type="gramEnd"/>
      <w:r w:rsidR="00126073">
        <w:rPr>
          <w:rFonts w:ascii="微軟正黑體" w:eastAsia="微軟正黑體" w:hAnsi="微軟正黑體" w:cs="Arial" w:hint="eastAsia"/>
          <w:spacing w:val="5"/>
          <w:kern w:val="28"/>
          <w:sz w:val="24"/>
        </w:rPr>
        <w:t>桃園市更</w:t>
      </w:r>
      <w:r w:rsidR="002B0874">
        <w:rPr>
          <w:rFonts w:ascii="微軟正黑體" w:eastAsia="微軟正黑體" w:hAnsi="微軟正黑體" w:cs="Arial" w:hint="eastAsia"/>
          <w:spacing w:val="5"/>
          <w:kern w:val="28"/>
          <w:sz w:val="24"/>
        </w:rPr>
        <w:t>出現</w:t>
      </w:r>
      <w:r w:rsidR="00126073">
        <w:rPr>
          <w:rFonts w:ascii="微軟正黑體" w:eastAsia="微軟正黑體" w:hAnsi="微軟正黑體" w:cs="Arial" w:hint="eastAsia"/>
          <w:spacing w:val="5"/>
          <w:kern w:val="28"/>
          <w:sz w:val="24"/>
        </w:rPr>
        <w:t>高達每坪50萬</w:t>
      </w:r>
      <w:r w:rsidR="002B0874">
        <w:rPr>
          <w:rFonts w:ascii="微軟正黑體" w:eastAsia="微軟正黑體" w:hAnsi="微軟正黑體" w:cs="Arial" w:hint="eastAsia"/>
          <w:spacing w:val="5"/>
          <w:kern w:val="28"/>
          <w:sz w:val="24"/>
        </w:rPr>
        <w:t>的天價。</w:t>
      </w:r>
      <w:r w:rsidR="00126073">
        <w:rPr>
          <w:rFonts w:ascii="微軟正黑體" w:eastAsia="微軟正黑體" w:hAnsi="微軟正黑體" w:cs="Arial" w:hint="eastAsia"/>
          <w:spacing w:val="5"/>
          <w:kern w:val="28"/>
          <w:sz w:val="24"/>
        </w:rPr>
        <w:t>即使需要</w:t>
      </w:r>
      <w:r w:rsidR="002B0874">
        <w:rPr>
          <w:rFonts w:ascii="微軟正黑體" w:eastAsia="微軟正黑體" w:hAnsi="微軟正黑體" w:cs="Arial" w:hint="eastAsia"/>
          <w:spacing w:val="5"/>
          <w:kern w:val="28"/>
          <w:sz w:val="24"/>
        </w:rPr>
        <w:t>上萬坪</w:t>
      </w:r>
      <w:r w:rsidR="00126073">
        <w:rPr>
          <w:rFonts w:ascii="微軟正黑體" w:eastAsia="微軟正黑體" w:hAnsi="微軟正黑體" w:cs="Arial" w:hint="eastAsia"/>
          <w:spacing w:val="5"/>
          <w:kern w:val="28"/>
          <w:sz w:val="24"/>
        </w:rPr>
        <w:t>土地的買方都是財力雄厚的企業，</w:t>
      </w:r>
      <w:r w:rsidR="002B0874">
        <w:rPr>
          <w:rFonts w:ascii="微軟正黑體" w:eastAsia="微軟正黑體" w:hAnsi="微軟正黑體" w:cs="Arial" w:hint="eastAsia"/>
          <w:spacing w:val="5"/>
          <w:kern w:val="28"/>
          <w:sz w:val="24"/>
        </w:rPr>
        <w:t>總價也是十分驚人</w:t>
      </w:r>
      <w:r w:rsidR="00134ECD">
        <w:rPr>
          <w:rFonts w:ascii="微軟正黑體" w:eastAsia="微軟正黑體" w:hAnsi="微軟正黑體" w:cs="Arial" w:hint="eastAsia"/>
          <w:spacing w:val="5"/>
          <w:kern w:val="28"/>
          <w:sz w:val="24"/>
        </w:rPr>
        <w:t>。有</w:t>
      </w:r>
      <w:proofErr w:type="gramStart"/>
      <w:r w:rsidR="00134ECD">
        <w:rPr>
          <w:rFonts w:ascii="微軟正黑體" w:eastAsia="微軟正黑體" w:hAnsi="微軟正黑體" w:cs="Arial" w:hint="eastAsia"/>
          <w:spacing w:val="5"/>
          <w:kern w:val="28"/>
          <w:sz w:val="24"/>
        </w:rPr>
        <w:t>鑑</w:t>
      </w:r>
      <w:proofErr w:type="gramEnd"/>
      <w:r w:rsidR="00134ECD">
        <w:rPr>
          <w:rFonts w:ascii="微軟正黑體" w:eastAsia="微軟正黑體" w:hAnsi="微軟正黑體" w:cs="Arial" w:hint="eastAsia"/>
          <w:spacing w:val="5"/>
          <w:kern w:val="28"/>
          <w:sz w:val="24"/>
        </w:rPr>
        <w:t>於</w:t>
      </w:r>
      <w:proofErr w:type="gramStart"/>
      <w:r w:rsidR="00134ECD">
        <w:rPr>
          <w:rFonts w:ascii="微軟正黑體" w:eastAsia="微軟正黑體" w:hAnsi="微軟正黑體" w:cs="Arial" w:hint="eastAsia"/>
          <w:spacing w:val="5"/>
          <w:kern w:val="28"/>
          <w:sz w:val="24"/>
        </w:rPr>
        <w:t>未來</w:t>
      </w:r>
      <w:r w:rsidR="002B0874">
        <w:rPr>
          <w:rFonts w:ascii="微軟正黑體" w:eastAsia="微軟正黑體" w:hAnsi="微軟正黑體" w:cs="Arial" w:hint="eastAsia"/>
          <w:spacing w:val="5"/>
          <w:kern w:val="28"/>
          <w:sz w:val="24"/>
        </w:rPr>
        <w:t>雙北桃園</w:t>
      </w:r>
      <w:proofErr w:type="gramEnd"/>
      <w:r w:rsidR="002B0874">
        <w:rPr>
          <w:rFonts w:ascii="微軟正黑體" w:eastAsia="微軟正黑體" w:hAnsi="微軟正黑體" w:cs="Arial" w:hint="eastAsia"/>
          <w:spacing w:val="5"/>
          <w:kern w:val="28"/>
          <w:sz w:val="24"/>
        </w:rPr>
        <w:t>地區</w:t>
      </w:r>
      <w:r w:rsidR="002B0874">
        <w:rPr>
          <w:rFonts w:ascii="微軟正黑體" w:eastAsia="微軟正黑體" w:hAnsi="微軟正黑體" w:cs="Arial" w:hint="eastAsia"/>
          <w:spacing w:val="5"/>
          <w:kern w:val="28"/>
          <w:sz w:val="24"/>
        </w:rPr>
        <w:t>政府</w:t>
      </w:r>
      <w:r w:rsidR="00134ECD">
        <w:rPr>
          <w:rFonts w:ascii="微軟正黑體" w:eastAsia="微軟正黑體" w:hAnsi="微軟正黑體" w:cs="Arial" w:hint="eastAsia"/>
          <w:spacing w:val="5"/>
          <w:kern w:val="28"/>
          <w:sz w:val="24"/>
        </w:rPr>
        <w:t>重劃後的工業土地都不會低於每坪25萬，</w:t>
      </w:r>
      <w:r w:rsidR="00126073">
        <w:rPr>
          <w:rFonts w:ascii="微軟正黑體" w:eastAsia="微軟正黑體" w:hAnsi="微軟正黑體" w:cs="Arial" w:hint="eastAsia"/>
          <w:spacing w:val="5"/>
          <w:kern w:val="28"/>
          <w:sz w:val="24"/>
        </w:rPr>
        <w:t>本案2字頭</w:t>
      </w:r>
      <w:r w:rsidR="002B0874">
        <w:rPr>
          <w:rFonts w:ascii="微軟正黑體" w:eastAsia="微軟正黑體" w:hAnsi="微軟正黑體" w:cs="Arial" w:hint="eastAsia"/>
          <w:spacing w:val="5"/>
          <w:kern w:val="28"/>
          <w:sz w:val="24"/>
        </w:rPr>
        <w:t>的</w:t>
      </w:r>
      <w:r w:rsidR="00126073">
        <w:rPr>
          <w:rFonts w:ascii="微軟正黑體" w:eastAsia="微軟正黑體" w:hAnsi="微軟正黑體" w:cs="Arial" w:hint="eastAsia"/>
          <w:spacing w:val="5"/>
          <w:kern w:val="28"/>
          <w:sz w:val="24"/>
        </w:rPr>
        <w:t>價格</w:t>
      </w:r>
      <w:r w:rsidR="002B0874">
        <w:rPr>
          <w:rFonts w:ascii="微軟正黑體" w:eastAsia="微軟正黑體" w:hAnsi="微軟正黑體" w:cs="Arial" w:hint="eastAsia"/>
          <w:spacing w:val="5"/>
          <w:kern w:val="28"/>
          <w:sz w:val="24"/>
        </w:rPr>
        <w:t>相信</w:t>
      </w:r>
      <w:r w:rsidR="00126073">
        <w:rPr>
          <w:rFonts w:ascii="微軟正黑體" w:eastAsia="微軟正黑體" w:hAnsi="微軟正黑體" w:cs="Arial" w:hint="eastAsia"/>
          <w:spacing w:val="5"/>
          <w:kern w:val="28"/>
          <w:sz w:val="24"/>
        </w:rPr>
        <w:t>北台灣決定找不到</w:t>
      </w:r>
      <w:r w:rsidR="002B0874">
        <w:rPr>
          <w:rFonts w:ascii="微軟正黑體" w:eastAsia="微軟正黑體" w:hAnsi="微軟正黑體" w:cs="Arial" w:hint="eastAsia"/>
          <w:spacing w:val="5"/>
          <w:kern w:val="28"/>
          <w:sz w:val="24"/>
        </w:rPr>
        <w:t>立地</w:t>
      </w:r>
      <w:r w:rsidR="00126073">
        <w:rPr>
          <w:rFonts w:ascii="微軟正黑體" w:eastAsia="微軟正黑體" w:hAnsi="微軟正黑體" w:cs="Arial" w:hint="eastAsia"/>
          <w:spacing w:val="5"/>
          <w:kern w:val="28"/>
          <w:sz w:val="24"/>
        </w:rPr>
        <w:t>條件CP值超高的土地。</w:t>
      </w:r>
      <w:r w:rsidR="00126073" w:rsidRPr="00126073">
        <w:rPr>
          <w:rFonts w:ascii="微軟正黑體" w:eastAsia="微軟正黑體" w:hAnsi="微軟正黑體" w:cs="Arial" w:hint="eastAsia"/>
          <w:spacing w:val="5"/>
          <w:kern w:val="28"/>
          <w:sz w:val="24"/>
        </w:rPr>
        <w:t>」</w:t>
      </w:r>
    </w:p>
    <w:p w14:paraId="0CAF913D" w14:textId="3BFC77A4" w:rsidR="00BA2469" w:rsidRPr="00BA2469" w:rsidRDefault="002B0874" w:rsidP="00661EA1">
      <w:pPr>
        <w:widowControl/>
        <w:rPr>
          <w:rFonts w:ascii="微軟正黑體" w:eastAsia="微軟正黑體" w:hAnsi="微軟正黑體" w:cs="Arial" w:hint="eastAsia"/>
          <w:spacing w:val="5"/>
          <w:kern w:val="28"/>
          <w:sz w:val="24"/>
        </w:rPr>
      </w:pPr>
      <w:r>
        <w:rPr>
          <w:rFonts w:ascii="微軟正黑體" w:eastAsia="微軟正黑體" w:hAnsi="微軟正黑體" w:cs="Arial" w:hint="eastAsia"/>
          <w:spacing w:val="5"/>
          <w:kern w:val="28"/>
          <w:sz w:val="24"/>
        </w:rPr>
        <w:t>根據戴德梁行的調查，過去十年來廠房廠辦商品一直獨</w:t>
      </w:r>
      <w:proofErr w:type="gramStart"/>
      <w:r>
        <w:rPr>
          <w:rFonts w:ascii="微軟正黑體" w:eastAsia="微軟正黑體" w:hAnsi="微軟正黑體" w:cs="Arial" w:hint="eastAsia"/>
          <w:spacing w:val="5"/>
          <w:kern w:val="28"/>
          <w:sz w:val="24"/>
        </w:rPr>
        <w:t>佔</w:t>
      </w:r>
      <w:proofErr w:type="gramEnd"/>
      <w:r>
        <w:rPr>
          <w:rFonts w:ascii="微軟正黑體" w:eastAsia="微軟正黑體" w:hAnsi="微軟正黑體" w:cs="Arial" w:hint="eastAsia"/>
          <w:spacing w:val="5"/>
          <w:kern w:val="28"/>
          <w:sz w:val="24"/>
        </w:rPr>
        <w:t>台灣商用不動產交易量的首選，除了來自台灣科技業蓬勃發展，更因為自</w:t>
      </w:r>
      <w:proofErr w:type="gramStart"/>
      <w:r>
        <w:rPr>
          <w:rFonts w:ascii="微軟正黑體" w:eastAsia="微軟正黑體" w:hAnsi="微軟正黑體" w:cs="Arial" w:hint="eastAsia"/>
          <w:spacing w:val="5"/>
          <w:kern w:val="28"/>
          <w:sz w:val="24"/>
        </w:rPr>
        <w:t>疫</w:t>
      </w:r>
      <w:proofErr w:type="gramEnd"/>
      <w:r>
        <w:rPr>
          <w:rFonts w:ascii="微軟正黑體" w:eastAsia="微軟正黑體" w:hAnsi="微軟正黑體" w:cs="Arial" w:hint="eastAsia"/>
          <w:spacing w:val="5"/>
          <w:kern w:val="28"/>
          <w:sz w:val="24"/>
        </w:rPr>
        <w:t>情之後的晶片與現今的A</w:t>
      </w:r>
      <w:r>
        <w:rPr>
          <w:rFonts w:ascii="微軟正黑體" w:eastAsia="微軟正黑體" w:hAnsi="微軟正黑體" w:cs="Arial"/>
          <w:spacing w:val="5"/>
          <w:kern w:val="28"/>
          <w:sz w:val="24"/>
        </w:rPr>
        <w:t>I</w:t>
      </w:r>
      <w:r>
        <w:rPr>
          <w:rFonts w:ascii="微軟正黑體" w:eastAsia="微軟正黑體" w:hAnsi="微軟正黑體" w:cs="Arial" w:hint="eastAsia"/>
          <w:spacing w:val="5"/>
          <w:kern w:val="28"/>
          <w:sz w:val="24"/>
        </w:rPr>
        <w:t>+半導體熱潮受到世界矚目。在</w:t>
      </w:r>
      <w:proofErr w:type="gramStart"/>
      <w:r>
        <w:rPr>
          <w:rFonts w:ascii="微軟正黑體" w:eastAsia="微軟正黑體" w:hAnsi="微軟正黑體" w:cs="Arial" w:hint="eastAsia"/>
          <w:spacing w:val="5"/>
          <w:kern w:val="28"/>
          <w:sz w:val="24"/>
        </w:rPr>
        <w:t>土地資源稀缺的</w:t>
      </w:r>
      <w:proofErr w:type="gramEnd"/>
      <w:r>
        <w:rPr>
          <w:rFonts w:ascii="微軟正黑體" w:eastAsia="微軟正黑體" w:hAnsi="微軟正黑體" w:cs="Arial" w:hint="eastAsia"/>
          <w:spacing w:val="5"/>
          <w:kern w:val="28"/>
          <w:sz w:val="24"/>
        </w:rPr>
        <w:t>台灣，不讓工業土地閒置，積極活化並鼓勵投資促進經濟</w:t>
      </w:r>
      <w:proofErr w:type="gramStart"/>
      <w:r>
        <w:rPr>
          <w:rFonts w:ascii="微軟正黑體" w:eastAsia="微軟正黑體" w:hAnsi="微軟正黑體" w:cs="Arial" w:hint="eastAsia"/>
          <w:spacing w:val="5"/>
          <w:kern w:val="28"/>
          <w:sz w:val="24"/>
        </w:rPr>
        <w:t>繁榮</w:t>
      </w:r>
      <w:r w:rsidR="006305C0">
        <w:rPr>
          <w:rFonts w:ascii="微軟正黑體" w:eastAsia="微軟正黑體" w:hAnsi="微軟正黑體" w:cs="Arial" w:hint="eastAsia"/>
          <w:spacing w:val="5"/>
          <w:kern w:val="28"/>
          <w:sz w:val="24"/>
        </w:rPr>
        <w:t>，</w:t>
      </w:r>
      <w:proofErr w:type="gramEnd"/>
      <w:r w:rsidR="006305C0">
        <w:rPr>
          <w:rFonts w:ascii="微軟正黑體" w:eastAsia="微軟正黑體" w:hAnsi="微軟正黑體" w:cs="Arial" w:hint="eastAsia"/>
          <w:spacing w:val="5"/>
          <w:kern w:val="28"/>
          <w:sz w:val="24"/>
        </w:rPr>
        <w:t>讓廠商立足台灣安心生產，隨時面對來自世界的挑戰與成長的重要契機！</w:t>
      </w:r>
    </w:p>
    <w:p w14:paraId="64A2A21A" w14:textId="77777777" w:rsidR="00BA2469" w:rsidRPr="00BA2469" w:rsidRDefault="00BA2469" w:rsidP="00661EA1">
      <w:pPr>
        <w:jc w:val="both"/>
        <w:rPr>
          <w:rFonts w:ascii="Arial" w:hAnsi="Arial" w:cs="Arial"/>
          <w:sz w:val="24"/>
        </w:rPr>
      </w:pPr>
    </w:p>
    <w:p w14:paraId="68AE46E6" w14:textId="77777777" w:rsidR="00BA2469" w:rsidRPr="00BA2469" w:rsidRDefault="00BA2469" w:rsidP="00661EA1">
      <w:pPr>
        <w:widowControl/>
        <w:rPr>
          <w:rFonts w:ascii="微軟正黑體" w:eastAsia="微軟正黑體" w:hAnsi="微軟正黑體" w:cs="Arial" w:hint="eastAsia"/>
          <w:sz w:val="24"/>
        </w:rPr>
      </w:pPr>
    </w:p>
    <w:p w14:paraId="2E3572B8" w14:textId="51BFE013" w:rsidR="000D450E" w:rsidRPr="00BA2469" w:rsidRDefault="000D450E" w:rsidP="006305C0">
      <w:pPr>
        <w:widowControl/>
        <w:jc w:val="center"/>
        <w:rPr>
          <w:rFonts w:ascii="微軟正黑體" w:eastAsia="微軟正黑體" w:hAnsi="微軟正黑體" w:cs="Arial"/>
          <w:sz w:val="24"/>
          <w:lang w:eastAsia="zh-CN"/>
        </w:rPr>
      </w:pPr>
      <w:r w:rsidRPr="00BA2469">
        <w:rPr>
          <w:rFonts w:ascii="微軟正黑體" w:eastAsia="微軟正黑體" w:hAnsi="微軟正黑體" w:cs="Arial"/>
          <w:sz w:val="24"/>
        </w:rPr>
        <w:lastRenderedPageBreak/>
        <w:t>- 完 -</w:t>
      </w:r>
    </w:p>
    <w:p w14:paraId="41FC4065" w14:textId="5C66B8C6" w:rsidR="000D450E" w:rsidRPr="00BA2469" w:rsidRDefault="000D450E" w:rsidP="00661EA1">
      <w:pPr>
        <w:contextualSpacing/>
        <w:mirrorIndents/>
        <w:jc w:val="both"/>
        <w:rPr>
          <w:rFonts w:ascii="微軟正黑體" w:eastAsia="微軟正黑體" w:hAnsi="微軟正黑體" w:cs="Arial"/>
          <w:sz w:val="20"/>
          <w:szCs w:val="20"/>
          <w:lang w:eastAsia="zh-CN"/>
        </w:rPr>
      </w:pPr>
      <w:r w:rsidRPr="00BA2469">
        <w:rPr>
          <w:rFonts w:ascii="微軟正黑體" w:eastAsia="微軟正黑體" w:hAnsi="微軟正黑體" w:cs="Arial"/>
          <w:sz w:val="24"/>
          <w:lang w:eastAsia="zh-CN"/>
        </w:rPr>
        <w:drawing>
          <wp:anchor distT="0" distB="0" distL="114300" distR="114300" simplePos="0" relativeHeight="251658240" behindDoc="0" locked="0" layoutInCell="1" allowOverlap="1" wp14:anchorId="7B3478DC" wp14:editId="2BB98BA5">
            <wp:simplePos x="685800" y="-2977243"/>
            <wp:positionH relativeFrom="margin">
              <wp:align>left</wp:align>
            </wp:positionH>
            <wp:positionV relativeFrom="margin">
              <wp:align>top</wp:align>
            </wp:positionV>
            <wp:extent cx="6188710" cy="4782185"/>
            <wp:effectExtent l="0" t="0" r="2540" b="0"/>
            <wp:wrapSquare wrapText="bothSides"/>
            <wp:docPr id="72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DEA52565-4FE6-4018-B152-6733671A0FC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Picture 5">
                      <a:extLst>
                        <a:ext uri="{FF2B5EF4-FFF2-40B4-BE49-F238E27FC236}">
                          <a16:creationId xmlns:a16="http://schemas.microsoft.com/office/drawing/2014/main" id="{DEA52565-4FE6-4018-B152-6733671A0FC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4782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53F44DA" w14:textId="77777777" w:rsidR="000D450E" w:rsidRPr="00BA2469" w:rsidRDefault="000D450E" w:rsidP="00661EA1">
      <w:pPr>
        <w:contextualSpacing/>
        <w:mirrorIndents/>
        <w:jc w:val="both"/>
        <w:rPr>
          <w:rFonts w:ascii="微軟正黑體" w:eastAsia="微軟正黑體" w:hAnsi="微軟正黑體" w:cs="Arial"/>
          <w:b/>
          <w:color w:val="000000"/>
          <w:sz w:val="20"/>
          <w:szCs w:val="20"/>
          <w:lang w:eastAsia="zh-CN"/>
        </w:rPr>
      </w:pPr>
      <w:r w:rsidRPr="00BA2469">
        <w:rPr>
          <w:rFonts w:ascii="微軟正黑體" w:eastAsia="微軟正黑體" w:hAnsi="微軟正黑體" w:cs="Arial"/>
          <w:b/>
          <w:color w:val="000000"/>
          <w:sz w:val="20"/>
          <w:szCs w:val="20"/>
          <w:lang w:eastAsia="zh-CN"/>
        </w:rPr>
        <w:t>戴德梁行</w:t>
      </w:r>
    </w:p>
    <w:p w14:paraId="3F5D9ADD" w14:textId="26CA2B24" w:rsidR="000D450E" w:rsidRPr="00BA2469" w:rsidRDefault="000D450E" w:rsidP="006305C0">
      <w:pPr>
        <w:contextualSpacing/>
        <w:mirrorIndents/>
        <w:jc w:val="both"/>
        <w:rPr>
          <w:rFonts w:ascii="標楷體" w:hAnsi="標楷體"/>
          <w:i/>
          <w:iCs/>
          <w:sz w:val="20"/>
          <w:szCs w:val="20"/>
        </w:rPr>
      </w:pPr>
      <w:r w:rsidRPr="000D450E">
        <w:rPr>
          <w:rFonts w:ascii="微軟正黑體" w:eastAsia="微軟正黑體" w:hAnsi="微軟正黑體" w:cs="Arial"/>
          <w:sz w:val="20"/>
          <w:szCs w:val="20"/>
          <w:lang w:eastAsia="zh-CN"/>
        </w:rPr>
        <w:t>Cushman &amp; Wakefield (</w:t>
      </w:r>
      <w:r w:rsidRPr="000D450E">
        <w:rPr>
          <w:rFonts w:ascii="微軟正黑體" w:eastAsia="微軟正黑體" w:hAnsi="微軟正黑體" w:cs="Arial" w:hint="eastAsia"/>
          <w:sz w:val="20"/>
          <w:szCs w:val="20"/>
          <w:lang w:eastAsia="zh-CN"/>
        </w:rPr>
        <w:t>紐約證券交易所代號：</w:t>
      </w:r>
      <w:r w:rsidRPr="000D450E">
        <w:rPr>
          <w:rFonts w:ascii="微軟正黑體" w:eastAsia="微軟正黑體" w:hAnsi="微軟正黑體" w:cs="Arial"/>
          <w:sz w:val="20"/>
          <w:szCs w:val="20"/>
          <w:lang w:eastAsia="zh-CN"/>
        </w:rPr>
        <w:t xml:space="preserve">CWK) </w:t>
      </w:r>
      <w:r w:rsidRPr="000D450E">
        <w:rPr>
          <w:rFonts w:ascii="微軟正黑體" w:eastAsia="微軟正黑體" w:hAnsi="微軟正黑體" w:cs="Arial" w:hint="eastAsia"/>
          <w:sz w:val="20"/>
          <w:szCs w:val="20"/>
          <w:lang w:eastAsia="zh-CN"/>
        </w:rPr>
        <w:t>是一家領先全球的房地產服務公司，為房地產佔有者和擁有者提供卓越的價值。</w:t>
      </w:r>
      <w:r w:rsidRPr="000D450E">
        <w:rPr>
          <w:rFonts w:ascii="微軟正黑體" w:eastAsia="微軟正黑體" w:hAnsi="微軟正黑體" w:cs="Arial"/>
          <w:sz w:val="20"/>
          <w:szCs w:val="20"/>
          <w:lang w:eastAsia="zh-CN"/>
        </w:rPr>
        <w:t xml:space="preserve">Cushman &amp; Wakefield </w:t>
      </w:r>
      <w:r w:rsidRPr="000D450E">
        <w:rPr>
          <w:rFonts w:ascii="微軟正黑體" w:eastAsia="微軟正黑體" w:hAnsi="微軟正黑體" w:cs="Arial" w:hint="eastAsia"/>
          <w:sz w:val="20"/>
          <w:szCs w:val="20"/>
          <w:lang w:eastAsia="zh-CN"/>
        </w:rPr>
        <w:t>是最大的房地產服務公司之一，擁有約</w:t>
      </w:r>
      <w:r w:rsidRPr="000D450E">
        <w:rPr>
          <w:rFonts w:ascii="微軟正黑體" w:eastAsia="微軟正黑體" w:hAnsi="微軟正黑體" w:cs="Arial"/>
          <w:sz w:val="20"/>
          <w:szCs w:val="20"/>
          <w:lang w:eastAsia="zh-CN"/>
        </w:rPr>
        <w:t>52,000</w:t>
      </w:r>
      <w:r w:rsidRPr="000D450E">
        <w:rPr>
          <w:rFonts w:ascii="微軟正黑體" w:eastAsia="微軟正黑體" w:hAnsi="微軟正黑體" w:cs="Arial" w:hint="eastAsia"/>
          <w:sz w:val="20"/>
          <w:szCs w:val="20"/>
          <w:lang w:eastAsia="zh-CN"/>
        </w:rPr>
        <w:t>名員工，且在全球約</w:t>
      </w:r>
      <w:r w:rsidRPr="000D450E">
        <w:rPr>
          <w:rFonts w:ascii="微軟正黑體" w:eastAsia="微軟正黑體" w:hAnsi="微軟正黑體" w:cs="Arial"/>
          <w:sz w:val="20"/>
          <w:szCs w:val="20"/>
          <w:lang w:eastAsia="zh-CN"/>
        </w:rPr>
        <w:t>400</w:t>
      </w:r>
      <w:r w:rsidRPr="000D450E">
        <w:rPr>
          <w:rFonts w:ascii="微軟正黑體" w:eastAsia="微軟正黑體" w:hAnsi="微軟正黑體" w:cs="Arial" w:hint="eastAsia"/>
          <w:sz w:val="20"/>
          <w:szCs w:val="20"/>
          <w:lang w:eastAsia="zh-CN"/>
        </w:rPr>
        <w:t>個辦事處和約</w:t>
      </w:r>
      <w:r w:rsidRPr="000D450E">
        <w:rPr>
          <w:rFonts w:ascii="微軟正黑體" w:eastAsia="微軟正黑體" w:hAnsi="微軟正黑體" w:cs="Arial"/>
          <w:sz w:val="20"/>
          <w:szCs w:val="20"/>
          <w:lang w:eastAsia="zh-CN"/>
        </w:rPr>
        <w:t>60</w:t>
      </w:r>
      <w:r w:rsidRPr="000D450E">
        <w:rPr>
          <w:rFonts w:ascii="微軟正黑體" w:eastAsia="微軟正黑體" w:hAnsi="微軟正黑體" w:cs="Arial" w:hint="eastAsia"/>
          <w:sz w:val="20"/>
          <w:szCs w:val="20"/>
          <w:lang w:eastAsia="zh-CN"/>
        </w:rPr>
        <w:t>個國家開展業務。</w:t>
      </w:r>
      <w:r w:rsidRPr="000D450E">
        <w:rPr>
          <w:rFonts w:ascii="微軟正黑體" w:eastAsia="微軟正黑體" w:hAnsi="微軟正黑體" w:cs="Arial"/>
          <w:sz w:val="20"/>
          <w:szCs w:val="20"/>
          <w:lang w:eastAsia="zh-CN"/>
        </w:rPr>
        <w:t>2022</w:t>
      </w:r>
      <w:r w:rsidRPr="000D450E">
        <w:rPr>
          <w:rFonts w:ascii="微軟正黑體" w:eastAsia="微軟正黑體" w:hAnsi="微軟正黑體" w:cs="Arial" w:hint="eastAsia"/>
          <w:sz w:val="20"/>
          <w:szCs w:val="20"/>
          <w:lang w:eastAsia="zh-CN"/>
        </w:rPr>
        <w:t>年，公司在物業、設施和項目管理、租賃、資本市場、估價和其他服務等核心服務領域，實現了</w:t>
      </w:r>
      <w:r w:rsidRPr="000D450E">
        <w:rPr>
          <w:rFonts w:ascii="微軟正黑體" w:eastAsia="微軟正黑體" w:hAnsi="微軟正黑體" w:cs="Arial"/>
          <w:sz w:val="20"/>
          <w:szCs w:val="20"/>
          <w:lang w:eastAsia="zh-CN"/>
        </w:rPr>
        <w:t>101</w:t>
      </w:r>
      <w:r w:rsidRPr="000D450E">
        <w:rPr>
          <w:rFonts w:ascii="微軟正黑體" w:eastAsia="微軟正黑體" w:hAnsi="微軟正黑體" w:cs="Arial" w:hint="eastAsia"/>
          <w:sz w:val="20"/>
          <w:szCs w:val="20"/>
          <w:lang w:eastAsia="zh-CN"/>
        </w:rPr>
        <w:t>億美元的收入。</w:t>
      </w:r>
      <w:hyperlink r:id="rId8" w:history="1">
        <w:r w:rsidRPr="00BA2469">
          <w:rPr>
            <w:rStyle w:val="a3"/>
            <w:rFonts w:ascii="標楷體" w:hAnsi="標楷體" w:hint="eastAsia"/>
            <w:i/>
            <w:iCs/>
            <w:sz w:val="20"/>
            <w:szCs w:val="20"/>
          </w:rPr>
          <w:t>www.cushmanwakefield.com.t</w:t>
        </w:r>
        <w:r w:rsidRPr="00BA2469">
          <w:rPr>
            <w:rStyle w:val="a3"/>
            <w:rFonts w:ascii="標楷體" w:hAnsi="標楷體"/>
            <w:i/>
            <w:iCs/>
            <w:sz w:val="20"/>
            <w:szCs w:val="20"/>
          </w:rPr>
          <w:t>w</w:t>
        </w:r>
      </w:hyperlink>
      <w:r w:rsidRPr="00BA2469">
        <w:rPr>
          <w:rFonts w:ascii="標楷體" w:hAnsi="標楷體" w:hint="eastAsia"/>
          <w:i/>
          <w:iCs/>
          <w:sz w:val="20"/>
          <w:szCs w:val="20"/>
        </w:rPr>
        <w:t>。</w:t>
      </w:r>
    </w:p>
    <w:p w14:paraId="6D0A2562" w14:textId="77777777" w:rsidR="006305C0" w:rsidRDefault="006305C0" w:rsidP="00661EA1">
      <w:pPr>
        <w:jc w:val="both"/>
        <w:rPr>
          <w:rFonts w:ascii="微軟正黑體" w:eastAsia="微軟正黑體" w:hAnsi="微軟正黑體" w:cs="Arial"/>
          <w:sz w:val="20"/>
          <w:szCs w:val="20"/>
          <w:lang w:eastAsia="zh-CN"/>
        </w:rPr>
      </w:pPr>
    </w:p>
    <w:p w14:paraId="050AE24C" w14:textId="34E5C02C" w:rsidR="000D450E" w:rsidRPr="006305C0" w:rsidRDefault="000D450E" w:rsidP="00661EA1">
      <w:pPr>
        <w:jc w:val="both"/>
        <w:rPr>
          <w:rFonts w:ascii="微軟正黑體" w:eastAsia="微軟正黑體" w:hAnsi="微軟正黑體" w:cs="Arial"/>
          <w:b/>
          <w:bCs/>
          <w:sz w:val="20"/>
          <w:szCs w:val="20"/>
          <w:lang w:eastAsia="zh-CN"/>
        </w:rPr>
      </w:pPr>
      <w:r w:rsidRPr="006305C0">
        <w:rPr>
          <w:rFonts w:ascii="微軟正黑體" w:eastAsia="微軟正黑體" w:hAnsi="微軟正黑體" w:cs="Arial" w:hint="eastAsia"/>
          <w:b/>
          <w:bCs/>
          <w:sz w:val="20"/>
          <w:szCs w:val="20"/>
          <w:lang w:eastAsia="zh-CN"/>
        </w:rPr>
        <w:t>媒體請聯絡：</w:t>
      </w:r>
    </w:p>
    <w:p w14:paraId="0D983CDA" w14:textId="1AEBC30B" w:rsidR="000D450E" w:rsidRPr="006305C0" w:rsidRDefault="000D450E" w:rsidP="00661EA1">
      <w:pPr>
        <w:jc w:val="both"/>
        <w:rPr>
          <w:rFonts w:ascii="微軟正黑體" w:eastAsia="微軟正黑體" w:hAnsi="微軟正黑體" w:cs="Arial"/>
          <w:b/>
          <w:bCs/>
          <w:sz w:val="20"/>
          <w:szCs w:val="20"/>
          <w:lang w:eastAsia="zh-CN"/>
        </w:rPr>
      </w:pPr>
      <w:r w:rsidRPr="006305C0">
        <w:rPr>
          <w:rFonts w:ascii="微軟正黑體" w:eastAsia="微軟正黑體" w:hAnsi="微軟正黑體" w:cs="Arial" w:hint="eastAsia"/>
          <w:b/>
          <w:bCs/>
          <w:sz w:val="20"/>
          <w:szCs w:val="20"/>
          <w:lang w:eastAsia="zh-CN"/>
        </w:rPr>
        <w:t xml:space="preserve">江品頤  企業顧問服務部 </w:t>
      </w:r>
      <w:r w:rsidR="006305C0" w:rsidRPr="006305C0">
        <w:rPr>
          <w:rFonts w:ascii="微軟正黑體" w:eastAsia="微軟正黑體" w:hAnsi="微軟正黑體" w:cs="Arial" w:hint="eastAsia"/>
          <w:b/>
          <w:bCs/>
          <w:sz w:val="20"/>
          <w:szCs w:val="20"/>
          <w:lang w:eastAsia="zh-CN"/>
        </w:rPr>
        <w:t>執行</w:t>
      </w:r>
      <w:r w:rsidRPr="006305C0">
        <w:rPr>
          <w:rFonts w:ascii="微軟正黑體" w:eastAsia="微軟正黑體" w:hAnsi="微軟正黑體" w:cs="Arial" w:hint="eastAsia"/>
          <w:b/>
          <w:bCs/>
          <w:sz w:val="20"/>
          <w:szCs w:val="20"/>
          <w:lang w:eastAsia="zh-CN"/>
        </w:rPr>
        <w:t>董事 (02) 8788-3288</w:t>
      </w:r>
    </w:p>
    <w:p w14:paraId="2463365D" w14:textId="77777777" w:rsidR="000D450E" w:rsidRPr="006305C0" w:rsidRDefault="000D450E" w:rsidP="00661EA1">
      <w:pPr>
        <w:rPr>
          <w:b/>
          <w:bCs/>
          <w:sz w:val="20"/>
          <w:szCs w:val="20"/>
          <w:lang w:val="es-ES_tradnl"/>
        </w:rPr>
      </w:pPr>
      <w:hyperlink r:id="rId9" w:history="1">
        <w:r w:rsidRPr="006305C0">
          <w:rPr>
            <w:rStyle w:val="a3"/>
            <w:rFonts w:ascii="標楷體" w:hAnsi="標楷體" w:hint="eastAsia"/>
            <w:b/>
            <w:bCs/>
            <w:sz w:val="20"/>
            <w:szCs w:val="20"/>
            <w:lang w:val="es-ES_tradnl"/>
          </w:rPr>
          <w:t>Mei.chiang@cushwake.com</w:t>
        </w:r>
      </w:hyperlink>
    </w:p>
    <w:p w14:paraId="68C102E7" w14:textId="77777777" w:rsidR="001D0E47" w:rsidRPr="00BA2469" w:rsidRDefault="001D0E47" w:rsidP="00661EA1">
      <w:pPr>
        <w:contextualSpacing/>
        <w:mirrorIndents/>
        <w:jc w:val="both"/>
        <w:rPr>
          <w:sz w:val="20"/>
          <w:szCs w:val="20"/>
          <w:lang w:val="es-ES_tradnl"/>
        </w:rPr>
      </w:pPr>
    </w:p>
    <w:sectPr w:rsidR="001D0E47" w:rsidRPr="00BA2469" w:rsidSect="002C4C1C">
      <w:headerReference w:type="default" r:id="rId10"/>
      <w:pgSz w:w="11906" w:h="16838"/>
      <w:pgMar w:top="1440" w:right="1080" w:bottom="1440" w:left="1080" w:header="851" w:footer="992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7E3436" w14:textId="77777777" w:rsidR="007B2E9B" w:rsidRDefault="007B2E9B" w:rsidP="000D450E">
      <w:r>
        <w:separator/>
      </w:r>
    </w:p>
  </w:endnote>
  <w:endnote w:type="continuationSeparator" w:id="0">
    <w:p w14:paraId="3E961FB4" w14:textId="77777777" w:rsidR="007B2E9B" w:rsidRDefault="007B2E9B" w:rsidP="000D4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ld">
    <w:panose1 w:val="00000000000000000000"/>
    <w:charset w:val="00"/>
    <w:family w:val="modern"/>
    <w:notTrueType/>
    <w:pitch w:val="variable"/>
    <w:sig w:usb0="A00002FF" w:usb1="4000005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Gotham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7859DC" w14:textId="77777777" w:rsidR="007B2E9B" w:rsidRDefault="007B2E9B" w:rsidP="000D450E">
      <w:r>
        <w:separator/>
      </w:r>
    </w:p>
  </w:footnote>
  <w:footnote w:type="continuationSeparator" w:id="0">
    <w:p w14:paraId="4DD9AF12" w14:textId="77777777" w:rsidR="007B2E9B" w:rsidRDefault="007B2E9B" w:rsidP="000D45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F4048" w14:textId="6ABCDD5B" w:rsidR="000D450E" w:rsidRDefault="000D450E">
    <w:pPr>
      <w:pStyle w:val="a5"/>
    </w:pPr>
    <w:r>
      <w:rPr>
        <w:noProof/>
        <w14:ligatures w14:val="standardContextual"/>
      </w:rPr>
      <w:drawing>
        <wp:inline distT="0" distB="0" distL="0" distR="0" wp14:anchorId="6A84D76E" wp14:editId="55C544B3">
          <wp:extent cx="1032599" cy="381000"/>
          <wp:effectExtent l="0" t="0" r="0" b="0"/>
          <wp:docPr id="2" name="圖片 2" descr="一張含有 文字, 字型, 圖形, 平面設計 的圖片&#10;&#10;自動產生的描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圖片 2" descr="一張含有 文字, 字型, 圖形, 平面設計 的圖片&#10;&#10;自動產生的描述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5709" cy="3858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F31B97"/>
    <w:multiLevelType w:val="hybridMultilevel"/>
    <w:tmpl w:val="40DE0D56"/>
    <w:lvl w:ilvl="0" w:tplc="04090001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 w16cid:durableId="14851981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50E"/>
    <w:rsid w:val="000D450E"/>
    <w:rsid w:val="00126073"/>
    <w:rsid w:val="00134ECD"/>
    <w:rsid w:val="00152CA3"/>
    <w:rsid w:val="001A4240"/>
    <w:rsid w:val="001D0E47"/>
    <w:rsid w:val="002B0874"/>
    <w:rsid w:val="004D0249"/>
    <w:rsid w:val="005F5053"/>
    <w:rsid w:val="006305C0"/>
    <w:rsid w:val="00661361"/>
    <w:rsid w:val="00661EA1"/>
    <w:rsid w:val="007B2E9B"/>
    <w:rsid w:val="00BA2469"/>
    <w:rsid w:val="00DE0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FF86AC"/>
  <w15:chartTrackingRefBased/>
  <w15:docId w15:val="{7E8ECFE1-EA79-4B7E-BBA6-FB6BAE9F7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450E"/>
    <w:pPr>
      <w:widowControl w:val="0"/>
    </w:pPr>
    <w:rPr>
      <w:rFonts w:ascii="Times New Roman" w:eastAsia="標楷體" w:hAnsi="Times New Roman" w:cs="Times New Roman"/>
      <w:sz w:val="28"/>
      <w:szCs w:val="24"/>
      <w14:ligatures w14:val="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D450E"/>
    <w:rPr>
      <w:color w:val="0563C1"/>
      <w:u w:val="single"/>
    </w:rPr>
  </w:style>
  <w:style w:type="table" w:customStyle="1" w:styleId="1">
    <w:name w:val="网格型1"/>
    <w:basedOn w:val="a1"/>
    <w:next w:val="a4"/>
    <w:uiPriority w:val="59"/>
    <w:rsid w:val="000D450E"/>
    <w:rPr>
      <w:rFonts w:eastAsia="SimHei"/>
      <w:kern w:val="0"/>
      <w:sz w:val="22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39"/>
    <w:rsid w:val="000D45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0D45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D450E"/>
    <w:rPr>
      <w:rFonts w:ascii="Times New Roman" w:eastAsia="標楷體" w:hAnsi="Times New Roman" w:cs="Times New Roman"/>
      <w:sz w:val="20"/>
      <w:szCs w:val="20"/>
      <w14:ligatures w14:val="none"/>
    </w:rPr>
  </w:style>
  <w:style w:type="paragraph" w:styleId="a7">
    <w:name w:val="footer"/>
    <w:basedOn w:val="a"/>
    <w:link w:val="a8"/>
    <w:uiPriority w:val="99"/>
    <w:unhideWhenUsed/>
    <w:rsid w:val="000D45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D450E"/>
    <w:rPr>
      <w:rFonts w:ascii="Times New Roman" w:eastAsia="標楷體" w:hAnsi="Times New Roman" w:cs="Times New Roman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43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ushmanwakefield.com.tw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Mei.chiang@cushwake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CW 2024">
  <a:themeElements>
    <a:clrScheme name="CW 2024">
      <a:dk1>
        <a:srgbClr val="545859"/>
      </a:dk1>
      <a:lt1>
        <a:srgbClr val="FFFFFF"/>
      </a:lt1>
      <a:dk2>
        <a:srgbClr val="E4002B"/>
      </a:dk2>
      <a:lt2>
        <a:srgbClr val="80C9D6"/>
      </a:lt2>
      <a:accent1>
        <a:srgbClr val="0093AD"/>
      </a:accent1>
      <a:accent2>
        <a:srgbClr val="545859"/>
      </a:accent2>
      <a:accent3>
        <a:srgbClr val="8E1000"/>
      </a:accent3>
      <a:accent4>
        <a:srgbClr val="007C58"/>
      </a:accent4>
      <a:accent5>
        <a:srgbClr val="F1B434"/>
      </a:accent5>
      <a:accent6>
        <a:srgbClr val="1D1740"/>
      </a:accent6>
      <a:hlink>
        <a:srgbClr val="0093AD"/>
      </a:hlink>
      <a:folHlink>
        <a:srgbClr val="0093AD"/>
      </a:folHlink>
    </a:clrScheme>
    <a:fontScheme name="Custom 4">
      <a:majorFont>
        <a:latin typeface="Gotham"/>
        <a:ea typeface=""/>
        <a:cs typeface=""/>
      </a:majorFont>
      <a:minorFont>
        <a:latin typeface="Gotham Bold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>
          <a:noFill/>
        </a:ln>
      </a:spPr>
      <a:bodyPr lIns="54000" tIns="54000" rIns="54000" bIns="54000" rtlCol="0" anchor="ctr" anchorCtr="1"/>
      <a:lstStyle>
        <a:defPPr algn="ctr">
          <a:defRPr sz="1200" dirty="0" err="1" smtClean="0">
            <a:solidFill>
              <a:schemeClr val="bg1"/>
            </a:solidFill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 w="12700">
          <a:solidFill>
            <a:schemeClr val="accent1"/>
          </a:solidFill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>
        <a:noFill/>
      </a:spPr>
      <a:bodyPr wrap="square" lIns="0" tIns="0" rIns="0" bIns="0" rtlCol="0">
        <a:spAutoFit/>
      </a:bodyPr>
      <a:lstStyle>
        <a:defPPr>
          <a:spcAft>
            <a:spcPts val="600"/>
          </a:spcAft>
          <a:defRPr sz="1200" dirty="0" err="1" smtClean="0"/>
        </a:defPPr>
      </a:lstStyle>
    </a:txDef>
  </a:objectDefaults>
  <a:extraClrSchemeLst/>
  <a:custClrLst>
    <a:custClr name="BLANK">
      <a:srgbClr val="FFFFFF"/>
    </a:custClr>
    <a:custClr name="Grey Tint 75%">
      <a:srgbClr val="7F8283"/>
    </a:custClr>
    <a:custClr name="Blue Tint 75%">
      <a:srgbClr val="40AEC2"/>
    </a:custClr>
    <a:custClr name="BLANK">
      <a:srgbClr val="FFFFFF"/>
    </a:custClr>
    <a:custClr name="Blue 75%">
      <a:srgbClr val="40AEC2"/>
    </a:custClr>
    <a:custClr name="Grey 75%">
      <a:srgbClr val="7F8283"/>
    </a:custClr>
    <a:custClr name="Dark Red 75%">
      <a:srgbClr val="AA4C40"/>
    </a:custClr>
    <a:custClr name="Green 75%">
      <a:srgbClr val="409D82"/>
    </a:custClr>
    <a:custClr name="Yellow 75%">
      <a:srgbClr val="F4C767"/>
    </a:custClr>
    <a:custClr name="BLANK">
      <a:srgbClr val="FFFFFF"/>
    </a:custClr>
    <a:custClr name="BLANK">
      <a:srgbClr val="FFFFFF"/>
    </a:custClr>
    <a:custClr name="Grey Tint 50%">
      <a:srgbClr val="AAACAC"/>
    </a:custClr>
    <a:custClr name="Blue Tint 50%">
      <a:srgbClr val="80C9D6"/>
    </a:custClr>
    <a:custClr name="BLANK">
      <a:srgbClr val="FFFFFF"/>
    </a:custClr>
    <a:custClr name="Blue 50%">
      <a:srgbClr val="80C9D6"/>
    </a:custClr>
    <a:custClr name="Grey 50%">
      <a:srgbClr val="AAACAC"/>
    </a:custClr>
    <a:custClr name="Dark Red 50%">
      <a:srgbClr val="C78880"/>
    </a:custClr>
    <a:custClr name="Green 50%">
      <a:srgbClr val="80BEAC"/>
    </a:custClr>
    <a:custClr name="Yellow 50%">
      <a:srgbClr val="F8DA9A"/>
    </a:custClr>
    <a:custClr name="BLANK">
      <a:srgbClr val="FFFFFF"/>
    </a:custClr>
    <a:custClr name="BLANK">
      <a:srgbClr val="FFFFFF"/>
    </a:custClr>
    <a:custClr name="Grey Tint 25%">
      <a:srgbClr val="D4D5D6"/>
    </a:custClr>
    <a:custClr name="Blue Tint 25%">
      <a:srgbClr val="BFE4EB"/>
    </a:custClr>
    <a:custClr name="BLANK">
      <a:srgbClr val="FFFFFF"/>
    </a:custClr>
    <a:custClr name="Blue 25%">
      <a:srgbClr val="BFE4EB"/>
    </a:custClr>
    <a:custClr name="Grey 25%">
      <a:srgbClr val="D4D5D6"/>
    </a:custClr>
    <a:custClr name="Dark Red 25%">
      <a:srgbClr val="E3C3BF"/>
    </a:custClr>
    <a:custClr name="Green 25%">
      <a:srgbClr val="BFDED5"/>
    </a:custClr>
    <a:custClr name="Yellow 25%">
      <a:srgbClr val="FCECCC"/>
    </a:custClr>
    <a:custClr name="BLANK">
      <a:srgbClr val="FFFFFF"/>
    </a:custClr>
    <a:custClr name="BLANK">
      <a:srgbClr val="FFFFFF"/>
    </a:custClr>
    <a:custClr name="Grey Tint 12%">
      <a:srgbClr val="EAEBEB"/>
    </a:custClr>
    <a:custClr name="Blue Tint 12%">
      <a:srgbClr val="E0F2F5"/>
    </a:custClr>
    <a:custClr name="BLANK">
      <a:srgbClr val="FFFFFF"/>
    </a:custClr>
    <a:custClr name="Blue 12%">
      <a:srgbClr val="E0F2F5"/>
    </a:custClr>
    <a:custClr name="Grey 12%">
      <a:srgbClr val="EAEBEB"/>
    </a:custClr>
    <a:custClr name="Dark Red 12%">
      <a:srgbClr val="F1E2E0"/>
    </a:custClr>
    <a:custClr name="Green 12%">
      <a:srgbClr val="E0EFEB"/>
    </a:custClr>
    <a:custClr name="Yellow 12%">
      <a:srgbClr val="FDF6E7"/>
    </a:custClr>
  </a:custClrLst>
  <a:extLst>
    <a:ext uri="{05A4C25C-085E-4340-85A3-A5531E510DB2}">
      <thm15:themeFamily xmlns:thm15="http://schemas.microsoft.com/office/thememl/2012/main" name="CW 2024" id="{F92CA094-42F6-4FF1-8567-C2B0081EB866}" vid="{3980909B-F2AA-4FDF-9921-23C30F24A903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247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Perci Wu/TWN</dc:creator>
  <cp:keywords/>
  <dc:description/>
  <cp:lastModifiedBy>Perci Wu/TWN</cp:lastModifiedBy>
  <cp:revision>5</cp:revision>
  <dcterms:created xsi:type="dcterms:W3CDTF">2024-07-01T03:23:00Z</dcterms:created>
  <dcterms:modified xsi:type="dcterms:W3CDTF">2024-07-01T05:41:00Z</dcterms:modified>
</cp:coreProperties>
</file>